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E1D96">
      <w:pPr>
        <w:pStyle w:val="10"/>
        <w:rPr>
          <w:rFonts w:hint="eastAsia"/>
          <w:sz w:val="22"/>
          <w:szCs w:val="22"/>
          <w:lang w:val="en-US" w:eastAsia="zh-Hans"/>
        </w:rPr>
      </w:pPr>
      <w:r>
        <w:rPr>
          <w:sz w:val="22"/>
          <w:szCs w:val="22"/>
        </w:rPr>
        <w:br w:type="textWrapping"/>
      </w:r>
    </w:p>
    <w:p w14:paraId="3FF49B58">
      <w:pPr>
        <w:pStyle w:val="10"/>
        <w:jc w:val="center"/>
        <w:outlineLvl w:val="0"/>
        <w:rPr>
          <w:rFonts w:hint="eastAsia" w:ascii="仿宋" w:hAnsi="仿宋" w:eastAsia="仿宋" w:cs="仿宋"/>
          <w:sz w:val="22"/>
          <w:szCs w:val="22"/>
        </w:rPr>
      </w:pPr>
      <w:r>
        <w:rPr>
          <w:rFonts w:hint="eastAsia" w:ascii="仿宋" w:hAnsi="仿宋" w:eastAsia="仿宋" w:cs="仿宋"/>
          <w:b/>
          <w:sz w:val="56"/>
          <w:szCs w:val="22"/>
        </w:rPr>
        <w:t>福建省政府采购</w:t>
      </w:r>
    </w:p>
    <w:p w14:paraId="2B7D7A2E">
      <w:pPr>
        <w:pStyle w:val="10"/>
        <w:jc w:val="center"/>
        <w:outlineLvl w:val="0"/>
        <w:rPr>
          <w:rFonts w:hint="eastAsia" w:ascii="仿宋" w:hAnsi="仿宋" w:eastAsia="仿宋" w:cs="仿宋"/>
          <w:sz w:val="22"/>
          <w:szCs w:val="22"/>
        </w:rPr>
      </w:pPr>
      <w:r>
        <w:rPr>
          <w:rFonts w:hint="eastAsia" w:ascii="仿宋" w:hAnsi="仿宋" w:eastAsia="仿宋" w:cs="仿宋"/>
          <w:b/>
          <w:sz w:val="56"/>
          <w:szCs w:val="22"/>
        </w:rPr>
        <w:t>货物和服务项目</w:t>
      </w:r>
    </w:p>
    <w:p w14:paraId="5DFFD2FA">
      <w:pPr>
        <w:pStyle w:val="10"/>
        <w:jc w:val="center"/>
        <w:outlineLvl w:val="0"/>
        <w:rPr>
          <w:rFonts w:hint="eastAsia" w:ascii="仿宋" w:hAnsi="仿宋" w:eastAsia="仿宋" w:cs="仿宋"/>
          <w:sz w:val="22"/>
          <w:szCs w:val="22"/>
        </w:rPr>
      </w:pPr>
      <w:r>
        <w:rPr>
          <w:rFonts w:hint="eastAsia" w:ascii="仿宋" w:hAnsi="仿宋" w:eastAsia="仿宋" w:cs="仿宋"/>
          <w:b/>
          <w:sz w:val="56"/>
          <w:szCs w:val="22"/>
        </w:rPr>
        <w:t>询价通知书</w:t>
      </w:r>
    </w:p>
    <w:p w14:paraId="6FE29D7F">
      <w:pPr>
        <w:pStyle w:val="10"/>
        <w:jc w:val="center"/>
        <w:outlineLvl w:val="0"/>
        <w:rPr>
          <w:rFonts w:hint="eastAsia" w:ascii="仿宋" w:hAnsi="仿宋" w:eastAsia="仿宋" w:cs="仿宋"/>
          <w:b/>
          <w:sz w:val="56"/>
          <w:szCs w:val="22"/>
          <w:lang w:eastAsia="zh-CN"/>
        </w:rPr>
      </w:pPr>
      <w:r>
        <w:rPr>
          <w:rFonts w:hint="eastAsia" w:ascii="仿宋" w:hAnsi="仿宋" w:eastAsia="仿宋" w:cs="仿宋"/>
          <w:b/>
          <w:sz w:val="56"/>
          <w:szCs w:val="22"/>
          <w:lang w:eastAsia="zh-CN"/>
        </w:rPr>
        <w:t>（预公告版）</w:t>
      </w:r>
    </w:p>
    <w:p w14:paraId="76A8F24F">
      <w:pPr>
        <w:pStyle w:val="10"/>
        <w:jc w:val="center"/>
        <w:outlineLvl w:val="2"/>
        <w:rPr>
          <w:rFonts w:hint="eastAsia" w:ascii="仿宋" w:hAnsi="仿宋" w:eastAsia="仿宋" w:cs="仿宋"/>
          <w:b/>
          <w:sz w:val="36"/>
          <w:szCs w:val="22"/>
        </w:rPr>
      </w:pPr>
    </w:p>
    <w:p w14:paraId="6F6A012D">
      <w:pPr>
        <w:pStyle w:val="10"/>
        <w:jc w:val="center"/>
        <w:outlineLvl w:val="2"/>
        <w:rPr>
          <w:rFonts w:hint="eastAsia" w:ascii="仿宋" w:hAnsi="仿宋" w:eastAsia="仿宋" w:cs="仿宋"/>
          <w:b/>
          <w:sz w:val="36"/>
          <w:szCs w:val="22"/>
        </w:rPr>
      </w:pPr>
    </w:p>
    <w:p w14:paraId="5F686E62">
      <w:pPr>
        <w:pStyle w:val="10"/>
        <w:jc w:val="center"/>
        <w:outlineLvl w:val="2"/>
        <w:rPr>
          <w:rFonts w:hint="eastAsia" w:ascii="仿宋" w:hAnsi="仿宋" w:eastAsia="仿宋" w:cs="仿宋"/>
          <w:sz w:val="22"/>
          <w:szCs w:val="22"/>
          <w:lang w:eastAsia="zh-CN"/>
        </w:rPr>
      </w:pPr>
      <w:r>
        <w:rPr>
          <w:rFonts w:hint="eastAsia" w:ascii="仿宋" w:hAnsi="仿宋" w:eastAsia="仿宋" w:cs="仿宋"/>
          <w:b/>
          <w:sz w:val="36"/>
          <w:szCs w:val="22"/>
        </w:rPr>
        <w:t>项目名称：</w:t>
      </w:r>
      <w:r>
        <w:rPr>
          <w:rFonts w:hint="eastAsia" w:ascii="仿宋" w:hAnsi="仿宋" w:eastAsia="仿宋" w:cs="仿宋"/>
          <w:b/>
          <w:sz w:val="36"/>
          <w:szCs w:val="22"/>
          <w:lang w:eastAsia="zh-CN"/>
        </w:rPr>
        <w:t>邵武第一中学新校区教学保障类设备采购项目</w:t>
      </w:r>
    </w:p>
    <w:p w14:paraId="27FEC1B2">
      <w:pPr>
        <w:pStyle w:val="10"/>
        <w:jc w:val="center"/>
        <w:outlineLvl w:val="2"/>
        <w:rPr>
          <w:rFonts w:hint="eastAsia" w:ascii="仿宋" w:hAnsi="仿宋" w:eastAsia="仿宋" w:cs="仿宋"/>
          <w:sz w:val="22"/>
          <w:szCs w:val="22"/>
          <w:lang w:eastAsia="zh-CN"/>
        </w:rPr>
      </w:pPr>
      <w:r>
        <w:rPr>
          <w:rFonts w:hint="eastAsia" w:ascii="仿宋" w:hAnsi="仿宋" w:eastAsia="仿宋" w:cs="仿宋"/>
          <w:b/>
          <w:sz w:val="36"/>
          <w:szCs w:val="22"/>
        </w:rPr>
        <w:t>备案编号：</w:t>
      </w:r>
      <w:r>
        <w:rPr>
          <w:rFonts w:hint="eastAsia" w:ascii="仿宋" w:hAnsi="仿宋" w:eastAsia="仿宋" w:cs="仿宋"/>
          <w:b/>
          <w:sz w:val="36"/>
          <w:szCs w:val="22"/>
          <w:lang w:eastAsia="zh-CN"/>
        </w:rPr>
        <w:t>CGXM</w:t>
      </w:r>
    </w:p>
    <w:p w14:paraId="3BF3301C">
      <w:pPr>
        <w:pStyle w:val="10"/>
        <w:jc w:val="center"/>
        <w:outlineLvl w:val="2"/>
        <w:rPr>
          <w:rFonts w:hint="eastAsia" w:ascii="仿宋" w:hAnsi="仿宋" w:eastAsia="仿宋" w:cs="仿宋"/>
          <w:sz w:val="22"/>
          <w:szCs w:val="22"/>
          <w:lang w:eastAsia="zh-CN"/>
        </w:rPr>
      </w:pPr>
      <w:r>
        <w:rPr>
          <w:rFonts w:hint="eastAsia" w:ascii="仿宋" w:hAnsi="仿宋" w:eastAsia="仿宋" w:cs="仿宋"/>
          <w:b/>
          <w:sz w:val="36"/>
          <w:szCs w:val="22"/>
        </w:rPr>
        <w:t>项目编号：</w:t>
      </w:r>
      <w:r>
        <w:rPr>
          <w:rFonts w:hint="eastAsia" w:ascii="仿宋" w:hAnsi="仿宋" w:eastAsia="仿宋" w:cs="仿宋"/>
          <w:b/>
          <w:sz w:val="36"/>
          <w:szCs w:val="22"/>
          <w:lang w:eastAsia="zh-CN"/>
        </w:rPr>
        <w:t>[350781]</w:t>
      </w:r>
    </w:p>
    <w:p w14:paraId="0B0831B5">
      <w:pPr>
        <w:pStyle w:val="10"/>
        <w:jc w:val="center"/>
        <w:outlineLvl w:val="2"/>
        <w:rPr>
          <w:rFonts w:hint="eastAsia" w:ascii="仿宋" w:hAnsi="仿宋" w:eastAsia="仿宋" w:cs="仿宋"/>
          <w:b/>
          <w:sz w:val="36"/>
          <w:szCs w:val="22"/>
        </w:rPr>
      </w:pPr>
    </w:p>
    <w:p w14:paraId="1DF1D8A5">
      <w:pPr>
        <w:pStyle w:val="10"/>
        <w:jc w:val="center"/>
        <w:outlineLvl w:val="2"/>
        <w:rPr>
          <w:rFonts w:hint="eastAsia" w:ascii="仿宋" w:hAnsi="仿宋" w:eastAsia="仿宋" w:cs="仿宋"/>
          <w:b/>
          <w:sz w:val="36"/>
          <w:szCs w:val="22"/>
        </w:rPr>
      </w:pPr>
    </w:p>
    <w:p w14:paraId="6A7D2339">
      <w:pPr>
        <w:pStyle w:val="10"/>
        <w:jc w:val="center"/>
        <w:outlineLvl w:val="2"/>
        <w:rPr>
          <w:rFonts w:hint="eastAsia" w:ascii="仿宋" w:hAnsi="仿宋" w:eastAsia="仿宋" w:cs="仿宋"/>
          <w:b/>
          <w:sz w:val="36"/>
          <w:szCs w:val="22"/>
        </w:rPr>
      </w:pPr>
    </w:p>
    <w:p w14:paraId="334050C9">
      <w:pPr>
        <w:pStyle w:val="10"/>
        <w:jc w:val="center"/>
        <w:outlineLvl w:val="2"/>
        <w:rPr>
          <w:rFonts w:hint="eastAsia" w:ascii="仿宋" w:hAnsi="仿宋" w:eastAsia="仿宋" w:cs="仿宋"/>
          <w:b/>
          <w:sz w:val="36"/>
          <w:szCs w:val="22"/>
        </w:rPr>
      </w:pPr>
    </w:p>
    <w:p w14:paraId="7D9ED043">
      <w:pPr>
        <w:pStyle w:val="10"/>
        <w:jc w:val="center"/>
        <w:outlineLvl w:val="2"/>
        <w:rPr>
          <w:rFonts w:hint="eastAsia" w:ascii="仿宋" w:hAnsi="仿宋" w:eastAsia="仿宋" w:cs="仿宋"/>
          <w:sz w:val="22"/>
          <w:szCs w:val="22"/>
        </w:rPr>
      </w:pPr>
      <w:r>
        <w:rPr>
          <w:rFonts w:hint="eastAsia" w:ascii="仿宋" w:hAnsi="仿宋" w:eastAsia="仿宋" w:cs="仿宋"/>
          <w:b/>
          <w:sz w:val="36"/>
          <w:szCs w:val="22"/>
        </w:rPr>
        <w:t>采购人：福建省邵武第一中学</w:t>
      </w:r>
    </w:p>
    <w:p w14:paraId="7DFE4E48">
      <w:pPr>
        <w:pStyle w:val="10"/>
        <w:jc w:val="center"/>
        <w:outlineLvl w:val="2"/>
        <w:rPr>
          <w:rFonts w:hint="eastAsia" w:ascii="仿宋" w:hAnsi="仿宋" w:eastAsia="仿宋" w:cs="仿宋"/>
          <w:sz w:val="22"/>
          <w:szCs w:val="22"/>
          <w:lang w:eastAsia="zh-CN"/>
        </w:rPr>
      </w:pPr>
      <w:r>
        <w:rPr>
          <w:rFonts w:hint="eastAsia" w:ascii="仿宋" w:hAnsi="仿宋" w:eastAsia="仿宋" w:cs="仿宋"/>
          <w:b/>
          <w:sz w:val="36"/>
          <w:szCs w:val="22"/>
        </w:rPr>
        <w:t>代理机构：</w:t>
      </w:r>
      <w:r>
        <w:rPr>
          <w:rFonts w:hint="eastAsia" w:ascii="仿宋" w:hAnsi="仿宋" w:eastAsia="仿宋" w:cs="仿宋"/>
          <w:b/>
          <w:sz w:val="36"/>
          <w:szCs w:val="22"/>
          <w:lang w:eastAsia="zh-CN"/>
        </w:rPr>
        <w:t>XX代理公司</w:t>
      </w:r>
    </w:p>
    <w:p w14:paraId="1C3BA9FC">
      <w:pPr>
        <w:pStyle w:val="10"/>
        <w:jc w:val="center"/>
        <w:outlineLvl w:val="2"/>
        <w:rPr>
          <w:rFonts w:hint="eastAsia" w:ascii="仿宋" w:hAnsi="仿宋" w:eastAsia="仿宋" w:cs="仿宋"/>
          <w:sz w:val="22"/>
          <w:szCs w:val="22"/>
        </w:rPr>
      </w:pPr>
      <w:r>
        <w:rPr>
          <w:rFonts w:hint="eastAsia" w:ascii="仿宋" w:hAnsi="仿宋" w:eastAsia="仿宋" w:cs="仿宋"/>
          <w:b/>
          <w:sz w:val="36"/>
          <w:szCs w:val="22"/>
        </w:rPr>
        <w:t>编制时间：202</w:t>
      </w:r>
      <w:r>
        <w:rPr>
          <w:rFonts w:hint="eastAsia" w:ascii="仿宋" w:hAnsi="仿宋" w:eastAsia="仿宋" w:cs="仿宋"/>
          <w:b/>
          <w:sz w:val="36"/>
          <w:szCs w:val="22"/>
          <w:lang w:val="en-US" w:eastAsia="zh-CN"/>
        </w:rPr>
        <w:t>5</w:t>
      </w:r>
      <w:r>
        <w:rPr>
          <w:rFonts w:hint="eastAsia" w:ascii="仿宋" w:hAnsi="仿宋" w:eastAsia="仿宋" w:cs="仿宋"/>
          <w:b/>
          <w:sz w:val="36"/>
          <w:szCs w:val="22"/>
        </w:rPr>
        <w:t>年0</w:t>
      </w:r>
      <w:r>
        <w:rPr>
          <w:rFonts w:hint="eastAsia" w:ascii="仿宋" w:hAnsi="仿宋" w:eastAsia="仿宋" w:cs="仿宋"/>
          <w:b/>
          <w:sz w:val="36"/>
          <w:szCs w:val="22"/>
          <w:lang w:val="en-US" w:eastAsia="zh-CN"/>
        </w:rPr>
        <w:t>5</w:t>
      </w:r>
      <w:r>
        <w:rPr>
          <w:rFonts w:hint="eastAsia" w:ascii="仿宋" w:hAnsi="仿宋" w:eastAsia="仿宋" w:cs="仿宋"/>
          <w:b/>
          <w:sz w:val="36"/>
          <w:szCs w:val="22"/>
        </w:rPr>
        <w:t>月</w:t>
      </w:r>
    </w:p>
    <w:p w14:paraId="0A5C31C8">
      <w:pPr>
        <w:pStyle w:val="10"/>
        <w:rPr>
          <w:rFonts w:ascii="仿宋_GB2312" w:hAnsi="仿宋_GB2312" w:eastAsia="仿宋_GB2312" w:cs="仿宋_GB2312"/>
        </w:rPr>
      </w:pPr>
    </w:p>
    <w:p w14:paraId="1EAA72BE">
      <w:pPr>
        <w:pStyle w:val="10"/>
      </w:pPr>
      <w:r>
        <w:rPr>
          <w:rFonts w:ascii="仿宋_GB2312" w:hAnsi="仿宋_GB2312" w:eastAsia="仿宋_GB2312" w:cs="仿宋_GB2312"/>
        </w:rPr>
        <w:br w:type="page"/>
      </w:r>
    </w:p>
    <w:p w14:paraId="7AC3249F">
      <w:pPr>
        <w:pStyle w:val="10"/>
        <w:jc w:val="center"/>
        <w:outlineLvl w:val="1"/>
      </w:pPr>
      <w:r>
        <w:rPr>
          <w:rFonts w:ascii="仿宋_GB2312" w:hAnsi="仿宋_GB2312" w:eastAsia="仿宋_GB2312" w:cs="仿宋_GB2312"/>
          <w:b/>
          <w:sz w:val="36"/>
        </w:rPr>
        <w:t>第一章 询价邀请/询价邀请书</w:t>
      </w:r>
    </w:p>
    <w:p w14:paraId="3D4B9A49">
      <w:pPr>
        <w:pStyle w:val="10"/>
        <w:jc w:val="center"/>
        <w:rPr>
          <w:sz w:val="24"/>
          <w:szCs w:val="24"/>
        </w:rPr>
      </w:pPr>
      <w:r>
        <w:rPr>
          <w:rFonts w:ascii="仿宋_GB2312" w:hAnsi="仿宋_GB2312" w:eastAsia="仿宋_GB2312" w:cs="仿宋_GB2312"/>
          <w:sz w:val="24"/>
          <w:szCs w:val="24"/>
        </w:rPr>
        <w:t>询价邀请</w:t>
      </w:r>
    </w:p>
    <w:p w14:paraId="66DA6139">
      <w:pPr>
        <w:pStyle w:val="10"/>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XX代理公司</w:t>
      </w:r>
      <w:r>
        <w:rPr>
          <w:rFonts w:hint="eastAsia" w:ascii="仿宋" w:hAnsi="仿宋" w:eastAsia="仿宋" w:cs="仿宋"/>
          <w:sz w:val="24"/>
          <w:szCs w:val="24"/>
        </w:rPr>
        <w:t>采用询价采购方式组织</w:t>
      </w:r>
      <w:r>
        <w:rPr>
          <w:rFonts w:hint="eastAsia" w:ascii="仿宋" w:hAnsi="仿宋" w:eastAsia="仿宋" w:cs="仿宋"/>
          <w:sz w:val="24"/>
          <w:szCs w:val="24"/>
          <w:lang w:eastAsia="zh-CN"/>
        </w:rPr>
        <w:t>邵武第一中学新校区教学保障类设备采购项目</w:t>
      </w:r>
      <w:r>
        <w:rPr>
          <w:rFonts w:hint="eastAsia" w:ascii="仿宋" w:hAnsi="仿宋" w:eastAsia="仿宋" w:cs="仿宋"/>
          <w:sz w:val="24"/>
          <w:szCs w:val="24"/>
        </w:rPr>
        <w:t>项目（以下简称：“本项目”）的政府采购活动，现采用发布公告方式，邀请供应商参加报价。</w:t>
      </w:r>
    </w:p>
    <w:p w14:paraId="3D28CFC1">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2"/>
        <w:rPr>
          <w:rFonts w:hint="eastAsia" w:ascii="仿宋" w:hAnsi="仿宋" w:eastAsia="仿宋" w:cs="仿宋"/>
          <w:sz w:val="24"/>
          <w:szCs w:val="24"/>
          <w:lang w:eastAsia="zh-CN"/>
        </w:rPr>
      </w:pPr>
      <w:r>
        <w:rPr>
          <w:rFonts w:hint="eastAsia" w:ascii="仿宋" w:hAnsi="仿宋" w:eastAsia="仿宋" w:cs="仿宋"/>
          <w:b/>
          <w:sz w:val="24"/>
          <w:szCs w:val="24"/>
        </w:rPr>
        <w:t>1、备案编号：</w:t>
      </w:r>
      <w:r>
        <w:rPr>
          <w:rFonts w:hint="eastAsia" w:ascii="仿宋" w:hAnsi="仿宋" w:eastAsia="仿宋" w:cs="仿宋"/>
          <w:b/>
          <w:sz w:val="24"/>
          <w:szCs w:val="24"/>
          <w:lang w:eastAsia="zh-CN"/>
        </w:rPr>
        <w:t>CGXM</w:t>
      </w:r>
    </w:p>
    <w:p w14:paraId="4FFD990A">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2"/>
        <w:rPr>
          <w:rFonts w:hint="eastAsia" w:ascii="仿宋" w:hAnsi="仿宋" w:eastAsia="仿宋" w:cs="仿宋"/>
          <w:sz w:val="24"/>
          <w:szCs w:val="24"/>
          <w:lang w:eastAsia="zh-CN"/>
        </w:rPr>
      </w:pPr>
      <w:r>
        <w:rPr>
          <w:rFonts w:hint="eastAsia" w:ascii="仿宋" w:hAnsi="仿宋" w:eastAsia="仿宋" w:cs="仿宋"/>
          <w:b/>
          <w:sz w:val="24"/>
          <w:szCs w:val="24"/>
        </w:rPr>
        <w:t>2、项目编号：</w:t>
      </w:r>
      <w:r>
        <w:rPr>
          <w:rFonts w:hint="eastAsia" w:ascii="仿宋" w:hAnsi="仿宋" w:eastAsia="仿宋" w:cs="仿宋"/>
          <w:b/>
          <w:sz w:val="24"/>
          <w:szCs w:val="24"/>
          <w:lang w:eastAsia="zh-CN"/>
        </w:rPr>
        <w:t>[350781]</w:t>
      </w:r>
    </w:p>
    <w:p w14:paraId="708656D3">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2"/>
        <w:rPr>
          <w:rFonts w:hint="eastAsia" w:ascii="仿宋" w:hAnsi="仿宋" w:eastAsia="仿宋" w:cs="仿宋"/>
          <w:sz w:val="24"/>
          <w:szCs w:val="24"/>
        </w:rPr>
      </w:pPr>
      <w:r>
        <w:rPr>
          <w:rFonts w:hint="eastAsia" w:ascii="仿宋" w:hAnsi="仿宋" w:eastAsia="仿宋" w:cs="仿宋"/>
          <w:b/>
          <w:sz w:val="24"/>
          <w:szCs w:val="24"/>
        </w:rPr>
        <w:t>3、询价内容及要求：</w:t>
      </w:r>
    </w:p>
    <w:p w14:paraId="391D9A9E">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详见附2：《采购标的一览表及询价通知书第四章》。</w:t>
      </w:r>
    </w:p>
    <w:p w14:paraId="240D469E">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2"/>
        <w:rPr>
          <w:rFonts w:hint="eastAsia" w:ascii="仿宋" w:hAnsi="仿宋" w:eastAsia="仿宋" w:cs="仿宋"/>
          <w:sz w:val="24"/>
          <w:szCs w:val="24"/>
        </w:rPr>
      </w:pPr>
      <w:r>
        <w:rPr>
          <w:rFonts w:hint="eastAsia" w:ascii="仿宋" w:hAnsi="仿宋" w:eastAsia="仿宋" w:cs="仿宋"/>
          <w:b/>
          <w:sz w:val="24"/>
          <w:szCs w:val="24"/>
        </w:rPr>
        <w:t>4、需要落实的政府采购政策：</w:t>
      </w:r>
    </w:p>
    <w:p w14:paraId="700A6956">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进口产品： 本项目不适用</w:t>
      </w:r>
    </w:p>
    <w:p w14:paraId="79427858">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节能产品： 适用本项目，按照《关于印发节能产品政府采购品目清单的通知》财库〔2019〕19号执行</w:t>
      </w:r>
    </w:p>
    <w:p w14:paraId="68CBEBAA">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环境标识产品： 适用于本项目，按照财库[2019]18号文所附品目清单执行 促进中小企业发展的相关政策</w:t>
      </w:r>
    </w:p>
    <w:p w14:paraId="44356F22">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促进中小企业的相关政策：</w:t>
      </w:r>
    </w:p>
    <w:p w14:paraId="425D4BCE">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采购包1：不专门面向中小企业采购</w:t>
      </w:r>
    </w:p>
    <w:p w14:paraId="5DDC8844">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2"/>
        <w:rPr>
          <w:rFonts w:hint="eastAsia" w:ascii="仿宋" w:hAnsi="仿宋" w:eastAsia="仿宋" w:cs="仿宋"/>
          <w:sz w:val="24"/>
          <w:szCs w:val="24"/>
        </w:rPr>
      </w:pPr>
      <w:r>
        <w:rPr>
          <w:rFonts w:hint="eastAsia" w:ascii="仿宋" w:hAnsi="仿宋" w:eastAsia="仿宋" w:cs="仿宋"/>
          <w:b/>
          <w:sz w:val="24"/>
          <w:szCs w:val="24"/>
        </w:rPr>
        <w:t>5、供应商的资格要求</w:t>
      </w:r>
    </w:p>
    <w:p w14:paraId="0F514558">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5.1法定条件：符合政府采购法第二十二条第一款规定的条件。</w:t>
      </w:r>
    </w:p>
    <w:p w14:paraId="032F9666">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5.2特定条件：</w:t>
      </w:r>
    </w:p>
    <w:p w14:paraId="67D2D9E1">
      <w:pPr>
        <w:pStyle w:val="10"/>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采购包1：</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9"/>
        <w:gridCol w:w="8613"/>
      </w:tblGrid>
      <w:tr w14:paraId="5D06C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7" w:type="pct"/>
            <w:vAlign w:val="center"/>
          </w:tcPr>
          <w:p w14:paraId="69308443">
            <w:pPr>
              <w:pStyle w:val="10"/>
              <w:jc w:val="center"/>
              <w:rPr>
                <w:sz w:val="24"/>
                <w:szCs w:val="24"/>
              </w:rPr>
            </w:pPr>
            <w:r>
              <w:rPr>
                <w:rFonts w:ascii="仿宋_GB2312" w:hAnsi="仿宋_GB2312" w:eastAsia="仿宋_GB2312" w:cs="仿宋_GB2312"/>
                <w:sz w:val="24"/>
                <w:szCs w:val="24"/>
              </w:rPr>
              <w:t>资格审查要求概况</w:t>
            </w:r>
          </w:p>
        </w:tc>
        <w:tc>
          <w:tcPr>
            <w:tcW w:w="4322" w:type="pct"/>
            <w:vAlign w:val="center"/>
          </w:tcPr>
          <w:p w14:paraId="38B655F8">
            <w:pPr>
              <w:pStyle w:val="10"/>
              <w:jc w:val="center"/>
              <w:rPr>
                <w:sz w:val="24"/>
                <w:szCs w:val="24"/>
              </w:rPr>
            </w:pPr>
            <w:r>
              <w:rPr>
                <w:rFonts w:ascii="仿宋_GB2312" w:hAnsi="仿宋_GB2312" w:eastAsia="仿宋_GB2312" w:cs="仿宋_GB2312"/>
                <w:sz w:val="24"/>
                <w:szCs w:val="24"/>
              </w:rPr>
              <w:t>评审点具体描述</w:t>
            </w:r>
          </w:p>
        </w:tc>
      </w:tr>
      <w:tr w14:paraId="41F32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7" w:type="pct"/>
            <w:vAlign w:val="center"/>
          </w:tcPr>
          <w:p w14:paraId="31B1D8DE">
            <w:pPr>
              <w:pStyle w:val="10"/>
              <w:jc w:val="center"/>
              <w:rPr>
                <w:sz w:val="24"/>
                <w:szCs w:val="24"/>
              </w:rPr>
            </w:pPr>
            <w:r>
              <w:rPr>
                <w:rFonts w:ascii="仿宋_GB2312" w:hAnsi="仿宋_GB2312" w:eastAsia="仿宋_GB2312" w:cs="仿宋_GB2312"/>
                <w:sz w:val="24"/>
                <w:szCs w:val="24"/>
              </w:rPr>
              <w:t>资格承诺函</w:t>
            </w:r>
          </w:p>
        </w:tc>
        <w:tc>
          <w:tcPr>
            <w:tcW w:w="4322" w:type="pct"/>
            <w:vAlign w:val="center"/>
          </w:tcPr>
          <w:p w14:paraId="60D76522">
            <w:pPr>
              <w:pStyle w:val="10"/>
              <w:jc w:val="center"/>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2F624C8">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5.3是否接受联合体报价：</w:t>
      </w:r>
    </w:p>
    <w:p w14:paraId="4D29E5E1">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采购包1：不接受</w:t>
      </w:r>
    </w:p>
    <w:p w14:paraId="66A789D4">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※根据上述资格要求，响应文件中应提交的“供应商的资格及资信证明文件”详见询价通知书第六章。</w:t>
      </w:r>
    </w:p>
    <w:p w14:paraId="38F1C116">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sz w:val="24"/>
          <w:szCs w:val="24"/>
        </w:rPr>
      </w:pPr>
      <w:r>
        <w:rPr>
          <w:rFonts w:ascii="仿宋_GB2312" w:hAnsi="仿宋_GB2312" w:eastAsia="仿宋_GB2312" w:cs="仿宋_GB2312"/>
          <w:b/>
          <w:sz w:val="24"/>
          <w:szCs w:val="24"/>
        </w:rPr>
        <w:t>6、询价通知书的获取</w:t>
      </w:r>
    </w:p>
    <w:p w14:paraId="5A4C8A8B">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6.1询价通知书获取期限：详见询价公告或更正公告（若有），若不一致，以更正公告（若有）为准。</w:t>
      </w:r>
    </w:p>
    <w:p w14:paraId="288F323A">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6.2询价通知书获取期限内，供应商应通过福建省政府采购网上公开信息系统注册账号（免费注册）并获取询价通知书（登陆福建省政府采购网上公开信息系统进行文件获取），否则报价响应将被拒绝。</w:t>
      </w:r>
    </w:p>
    <w:p w14:paraId="3A96CD90">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6.3获取地点及方式：注册账号后，通过福建省政府采购网上公开信息系统以下载方式获取。</w:t>
      </w:r>
    </w:p>
    <w:p w14:paraId="14497309">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6.4询价通知书售价：0元。</w:t>
      </w:r>
    </w:p>
    <w:p w14:paraId="72AA3066">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sz w:val="24"/>
          <w:szCs w:val="24"/>
        </w:rPr>
      </w:pPr>
      <w:r>
        <w:rPr>
          <w:rFonts w:ascii="仿宋_GB2312" w:hAnsi="仿宋_GB2312" w:eastAsia="仿宋_GB2312" w:cs="仿宋_GB2312"/>
          <w:b/>
          <w:sz w:val="24"/>
          <w:szCs w:val="24"/>
        </w:rPr>
        <w:t>7、提交响应文件截止时间：</w:t>
      </w:r>
    </w:p>
    <w:p w14:paraId="2A6C0769">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详见询价公告或更正公告（若有），若不一致，以更正公告（若有）为准。供应商应在提交响应文件截止时间前按照福建省政府采购网上公开信息系统设定的操作流程将电子响应文件上传至福建省政府采购网上公开信息系统，同时将密封的纸质响应文件送达询价通知书第一章第8条载明的地点，否则响应文件将被拒收。</w:t>
      </w:r>
    </w:p>
    <w:p w14:paraId="7CAB4DAE">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sz w:val="24"/>
          <w:szCs w:val="24"/>
        </w:rPr>
      </w:pPr>
      <w:r>
        <w:rPr>
          <w:rFonts w:ascii="仿宋_GB2312" w:hAnsi="仿宋_GB2312" w:eastAsia="仿宋_GB2312" w:cs="仿宋_GB2312"/>
          <w:b/>
          <w:sz w:val="24"/>
          <w:szCs w:val="24"/>
        </w:rPr>
        <w:t>8、询价时间及地点：</w:t>
      </w:r>
    </w:p>
    <w:p w14:paraId="350384A9">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详见询价公告或更正公告（若有），若不一致，以更正公告（若有）为准。参加报价会的供应商代表应携带供应商的CA证书，否则响应文件将被拒收。</w:t>
      </w:r>
    </w:p>
    <w:p w14:paraId="01D83266">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sz w:val="24"/>
          <w:szCs w:val="24"/>
        </w:rPr>
      </w:pPr>
      <w:r>
        <w:rPr>
          <w:rFonts w:ascii="仿宋_GB2312" w:hAnsi="仿宋_GB2312" w:eastAsia="仿宋_GB2312" w:cs="仿宋_GB2312"/>
          <w:b/>
          <w:sz w:val="24"/>
          <w:szCs w:val="24"/>
        </w:rPr>
        <w:t>9、公告期限</w:t>
      </w:r>
    </w:p>
    <w:p w14:paraId="70E99AF7">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9.1询价公告的公告期限：自发布公告之日起3个工作日。</w:t>
      </w:r>
    </w:p>
    <w:p w14:paraId="694A4F51">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9.2询价通知书随同询价公告一并发布，其公告期限与询价公告的期限保持一致。</w:t>
      </w:r>
    </w:p>
    <w:p w14:paraId="01967425">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sz w:val="24"/>
          <w:szCs w:val="24"/>
        </w:rPr>
      </w:pPr>
      <w:r>
        <w:rPr>
          <w:rFonts w:ascii="仿宋_GB2312" w:hAnsi="仿宋_GB2312" w:eastAsia="仿宋_GB2312" w:cs="仿宋_GB2312"/>
          <w:b/>
          <w:sz w:val="24"/>
          <w:szCs w:val="24"/>
        </w:rPr>
        <w:t>10、联系方式：</w:t>
      </w:r>
    </w:p>
    <w:p w14:paraId="3B524F1C">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采</w:t>
      </w:r>
      <w:r>
        <w:rPr>
          <w:rFonts w:hint="eastAsia" w:ascii="仿宋" w:hAnsi="仿宋" w:eastAsia="仿宋" w:cs="仿宋"/>
          <w:sz w:val="24"/>
          <w:szCs w:val="24"/>
        </w:rPr>
        <w:t>购人：福建省邵武第一中学</w:t>
      </w:r>
    </w:p>
    <w:p w14:paraId="79E55D48">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地址：福建省邵武市八一北路48号</w:t>
      </w:r>
    </w:p>
    <w:p w14:paraId="6FF0573C">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邮编：354000</w:t>
      </w:r>
    </w:p>
    <w:p w14:paraId="2CA34C0F">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联系人：舒畅</w:t>
      </w:r>
    </w:p>
    <w:p w14:paraId="7F4B593F">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联系电话：0599-6325816</w:t>
      </w:r>
    </w:p>
    <w:p w14:paraId="39BF13CF">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hAnsi="仿宋" w:eastAsia="仿宋" w:cs="仿宋"/>
          <w:sz w:val="24"/>
          <w:szCs w:val="24"/>
        </w:rPr>
      </w:pPr>
    </w:p>
    <w:p w14:paraId="11C88D83">
      <w:pPr>
        <w:pStyle w:val="10"/>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代理机构：</w:t>
      </w:r>
      <w:r>
        <w:rPr>
          <w:rFonts w:hint="eastAsia" w:ascii="仿宋" w:hAnsi="仿宋" w:eastAsia="仿宋" w:cs="仿宋"/>
          <w:sz w:val="24"/>
          <w:szCs w:val="24"/>
          <w:lang w:eastAsia="zh-CN"/>
        </w:rPr>
        <w:t>XX代理公司</w:t>
      </w:r>
    </w:p>
    <w:p w14:paraId="4AED2CD4">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地址：</w:t>
      </w:r>
    </w:p>
    <w:p w14:paraId="1B05B156">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邮编：</w:t>
      </w:r>
    </w:p>
    <w:p w14:paraId="682B8ACD">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联系人：</w:t>
      </w:r>
    </w:p>
    <w:p w14:paraId="0E3D60E6">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联系电话：</w:t>
      </w:r>
    </w:p>
    <w:p w14:paraId="335FB255">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outlineLvl w:val="2"/>
        <w:rPr>
          <w:sz w:val="24"/>
          <w:szCs w:val="24"/>
        </w:rPr>
      </w:pPr>
      <w:r>
        <w:rPr>
          <w:rFonts w:ascii="仿宋_GB2312" w:hAnsi="仿宋_GB2312" w:eastAsia="仿宋_GB2312" w:cs="仿宋_GB2312"/>
          <w:b/>
          <w:sz w:val="24"/>
          <w:szCs w:val="24"/>
        </w:rPr>
        <w:t>附1：账户信息</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727DE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2D934A8">
            <w:pPr>
              <w:pStyle w:val="10"/>
              <w:jc w:val="left"/>
              <w:rPr>
                <w:sz w:val="24"/>
                <w:szCs w:val="24"/>
              </w:rPr>
            </w:pPr>
            <w:r>
              <w:rPr>
                <w:rFonts w:ascii="仿宋_GB2312" w:hAnsi="仿宋_GB2312" w:eastAsia="仿宋_GB2312" w:cs="仿宋_GB2312"/>
                <w:sz w:val="24"/>
                <w:szCs w:val="24"/>
              </w:rPr>
              <w:t>询价保证金账户</w:t>
            </w:r>
          </w:p>
        </w:tc>
      </w:tr>
      <w:tr w14:paraId="144BC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9179ABC">
            <w:pPr>
              <w:pStyle w:val="10"/>
              <w:jc w:val="left"/>
              <w:rPr>
                <w:rFonts w:hint="eastAsia" w:eastAsia="仿宋_GB2312"/>
                <w:sz w:val="24"/>
                <w:szCs w:val="24"/>
                <w:lang w:eastAsia="zh-CN"/>
              </w:rPr>
            </w:pPr>
            <w:r>
              <w:rPr>
                <w:rFonts w:ascii="仿宋_GB2312" w:hAnsi="仿宋_GB2312" w:eastAsia="仿宋_GB2312" w:cs="仿宋_GB2312"/>
                <w:sz w:val="24"/>
                <w:szCs w:val="24"/>
              </w:rPr>
              <w:t xml:space="preserve">开户名称： </w:t>
            </w:r>
            <w:r>
              <w:rPr>
                <w:rFonts w:hint="eastAsia" w:ascii="仿宋_GB2312" w:hAnsi="仿宋_GB2312" w:eastAsia="仿宋_GB2312" w:cs="仿宋_GB2312"/>
                <w:sz w:val="24"/>
                <w:szCs w:val="24"/>
                <w:lang w:eastAsia="zh-CN"/>
              </w:rPr>
              <w:t>XX代理公司</w:t>
            </w:r>
          </w:p>
        </w:tc>
      </w:tr>
      <w:tr w14:paraId="7783E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065EFFE">
            <w:pPr>
              <w:pStyle w:val="10"/>
              <w:jc w:val="left"/>
              <w:rPr>
                <w:sz w:val="24"/>
                <w:szCs w:val="24"/>
              </w:rPr>
            </w:pPr>
            <w:r>
              <w:rPr>
                <w:rFonts w:ascii="仿宋_GB2312" w:hAnsi="仿宋_GB2312" w:eastAsia="仿宋_GB2312" w:cs="仿宋_GB2312"/>
                <w:sz w:val="24"/>
                <w:szCs w:val="24"/>
              </w:rPr>
              <w:t>开户银行：由供应商在福建省政府采购网上公开信息系统获取询价通知书后，根据系统的提示自行选择要缴交的保证金托管银行。</w:t>
            </w:r>
          </w:p>
        </w:tc>
      </w:tr>
      <w:tr w14:paraId="17B44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E87E855">
            <w:pPr>
              <w:pStyle w:val="10"/>
              <w:jc w:val="left"/>
              <w:rPr>
                <w:sz w:val="24"/>
                <w:szCs w:val="24"/>
              </w:rPr>
            </w:pPr>
            <w:r>
              <w:rPr>
                <w:rFonts w:ascii="仿宋_GB2312" w:hAnsi="仿宋_GB2312" w:eastAsia="仿宋_GB2312" w:cs="仿宋_GB2312"/>
                <w:sz w:val="24"/>
                <w:szCs w:val="24"/>
              </w:rPr>
              <w:t>银行账号：福建省政府采购网上公开信息系统根据供应商选择的保证金托管银行，以采购包为单位，自动生成供应商所报采购包的缴交银行账号（即多个采购包将对应生成多个缴交账号）。供应商应按照所报采购包的询价保证金要求，缴交相应的询价保证金。</w:t>
            </w:r>
          </w:p>
        </w:tc>
      </w:tr>
      <w:tr w14:paraId="0B3AB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2A9B239">
            <w:pPr>
              <w:pStyle w:val="10"/>
              <w:jc w:val="left"/>
              <w:rPr>
                <w:sz w:val="24"/>
                <w:szCs w:val="24"/>
              </w:rPr>
            </w:pPr>
            <w:r>
              <w:rPr>
                <w:rFonts w:ascii="仿宋_GB2312" w:hAnsi="仿宋_GB2312" w:eastAsia="仿宋_GB2312" w:cs="仿宋_GB2312"/>
                <w:sz w:val="24"/>
                <w:szCs w:val="24"/>
              </w:rPr>
              <w:t>特别提示</w:t>
            </w:r>
          </w:p>
        </w:tc>
      </w:tr>
      <w:tr w14:paraId="5110F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30FB4A9">
            <w:pPr>
              <w:pStyle w:val="10"/>
              <w:jc w:val="left"/>
              <w:rPr>
                <w:sz w:val="24"/>
                <w:szCs w:val="24"/>
              </w:rPr>
            </w:pPr>
            <w:r>
              <w:rPr>
                <w:rFonts w:ascii="仿宋_GB2312" w:hAnsi="仿宋_GB2312" w:eastAsia="仿宋_GB2312" w:cs="仿宋_GB2312"/>
                <w:sz w:val="24"/>
                <w:szCs w:val="24"/>
              </w:rPr>
              <w:t>1、请供应商务必认真核对账户信息，将询价保证金款项汇入对应账户，并自行承担因款项汇错而产生的一切后果。</w:t>
            </w:r>
          </w:p>
          <w:p w14:paraId="2D03E80B">
            <w:pPr>
              <w:pStyle w:val="10"/>
              <w:jc w:val="left"/>
              <w:rPr>
                <w:sz w:val="24"/>
                <w:szCs w:val="24"/>
              </w:rPr>
            </w:pPr>
            <w:r>
              <w:rPr>
                <w:rFonts w:ascii="仿宋_GB2312" w:hAnsi="仿宋_GB2312" w:eastAsia="仿宋_GB2312" w:cs="仿宋_GB2312"/>
                <w:sz w:val="24"/>
                <w:szCs w:val="24"/>
              </w:rPr>
              <w:t xml:space="preserve"> 2、请供应商在转账或电汇的凭证上务必按照以下格式注明，以便核对：“（项目编号：***、采购包：***）的询价保证金”。</w:t>
            </w:r>
          </w:p>
        </w:tc>
      </w:tr>
    </w:tbl>
    <w:p w14:paraId="6BD550BC">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outlineLvl w:val="2"/>
        <w:rPr>
          <w:rFonts w:hint="eastAsia" w:ascii="仿宋" w:hAnsi="仿宋" w:eastAsia="仿宋" w:cs="仿宋"/>
          <w:sz w:val="24"/>
          <w:szCs w:val="24"/>
        </w:rPr>
      </w:pPr>
      <w:r>
        <w:rPr>
          <w:rFonts w:hint="eastAsia" w:ascii="仿宋" w:hAnsi="仿宋" w:eastAsia="仿宋" w:cs="仿宋"/>
          <w:b/>
          <w:sz w:val="24"/>
          <w:szCs w:val="24"/>
        </w:rPr>
        <w:t>附2：采购标的一览表</w:t>
      </w:r>
    </w:p>
    <w:p w14:paraId="466C1551">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采购包1：</w:t>
      </w:r>
    </w:p>
    <w:p w14:paraId="12ECD25D">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b/>
          <w:sz w:val="24"/>
          <w:szCs w:val="24"/>
        </w:rPr>
        <w:t>采购包预算金额（元）: 1,828,0</w:t>
      </w:r>
      <w:r>
        <w:rPr>
          <w:rFonts w:hint="eastAsia" w:ascii="仿宋" w:hAnsi="仿宋" w:eastAsia="仿宋" w:cs="仿宋"/>
          <w:b/>
          <w:sz w:val="24"/>
          <w:szCs w:val="24"/>
          <w:lang w:val="en-US" w:eastAsia="zh-CN"/>
        </w:rPr>
        <w:t>00</w:t>
      </w:r>
      <w:r>
        <w:rPr>
          <w:rFonts w:hint="eastAsia" w:ascii="仿宋" w:hAnsi="仿宋" w:eastAsia="仿宋" w:cs="仿宋"/>
          <w:b/>
          <w:sz w:val="24"/>
          <w:szCs w:val="24"/>
        </w:rPr>
        <w:t>.00</w:t>
      </w:r>
    </w:p>
    <w:p w14:paraId="345AE313">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b/>
          <w:sz w:val="24"/>
          <w:szCs w:val="24"/>
        </w:rPr>
        <w:t>采购包最高限价（元）: 1,828,000.00</w:t>
      </w:r>
    </w:p>
    <w:p w14:paraId="34878621">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采购包保证金金额（元）: 18,280.</w:t>
      </w:r>
      <w:r>
        <w:rPr>
          <w:rFonts w:hint="eastAsia" w:ascii="仿宋" w:hAnsi="仿宋" w:eastAsia="仿宋" w:cs="仿宋"/>
          <w:b/>
          <w:sz w:val="24"/>
          <w:szCs w:val="24"/>
          <w:lang w:val="en-US" w:eastAsia="zh-CN"/>
        </w:rPr>
        <w:t>00</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0"/>
        <w:gridCol w:w="3622"/>
        <w:gridCol w:w="696"/>
        <w:gridCol w:w="1660"/>
        <w:gridCol w:w="912"/>
        <w:gridCol w:w="912"/>
        <w:gridCol w:w="1590"/>
      </w:tblGrid>
      <w:tr w14:paraId="751F4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3" w:type="pct"/>
            <w:vAlign w:val="center"/>
          </w:tcPr>
          <w:p w14:paraId="54DABEAB">
            <w:pPr>
              <w:pStyle w:val="1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24" w:type="pct"/>
            <w:vAlign w:val="center"/>
          </w:tcPr>
          <w:p w14:paraId="6F2EA357">
            <w:pPr>
              <w:pStyle w:val="10"/>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309" w:type="pct"/>
            <w:vAlign w:val="center"/>
          </w:tcPr>
          <w:p w14:paraId="30A2A311">
            <w:pPr>
              <w:pStyle w:val="10"/>
              <w:jc w:val="center"/>
              <w:rPr>
                <w:rFonts w:hint="eastAsia" w:ascii="仿宋" w:hAnsi="仿宋" w:eastAsia="仿宋" w:cs="仿宋"/>
                <w:sz w:val="24"/>
                <w:szCs w:val="24"/>
              </w:rPr>
            </w:pPr>
            <w:r>
              <w:rPr>
                <w:rFonts w:hint="eastAsia" w:ascii="仿宋" w:hAnsi="仿宋" w:eastAsia="仿宋" w:cs="仿宋"/>
                <w:sz w:val="24"/>
                <w:szCs w:val="24"/>
              </w:rPr>
              <w:t>数量</w:t>
            </w:r>
          </w:p>
        </w:tc>
        <w:tc>
          <w:tcPr>
            <w:tcW w:w="839" w:type="pct"/>
            <w:vAlign w:val="center"/>
          </w:tcPr>
          <w:p w14:paraId="56D525CD">
            <w:pPr>
              <w:pStyle w:val="10"/>
              <w:jc w:val="center"/>
              <w:rPr>
                <w:rFonts w:hint="eastAsia" w:ascii="仿宋" w:hAnsi="仿宋" w:eastAsia="仿宋" w:cs="仿宋"/>
                <w:sz w:val="24"/>
                <w:szCs w:val="24"/>
              </w:rPr>
            </w:pPr>
            <w:r>
              <w:rPr>
                <w:rFonts w:hint="eastAsia" w:ascii="仿宋" w:hAnsi="仿宋" w:eastAsia="仿宋" w:cs="仿宋"/>
                <w:sz w:val="24"/>
                <w:szCs w:val="24"/>
              </w:rPr>
              <w:t>标的金额 （元）</w:t>
            </w:r>
          </w:p>
        </w:tc>
        <w:tc>
          <w:tcPr>
            <w:tcW w:w="464" w:type="pct"/>
            <w:vAlign w:val="center"/>
          </w:tcPr>
          <w:p w14:paraId="21597736">
            <w:pPr>
              <w:pStyle w:val="10"/>
              <w:jc w:val="center"/>
              <w:rPr>
                <w:rFonts w:hint="eastAsia" w:ascii="仿宋" w:hAnsi="仿宋" w:eastAsia="仿宋" w:cs="仿宋"/>
                <w:sz w:val="24"/>
                <w:szCs w:val="24"/>
              </w:rPr>
            </w:pPr>
            <w:r>
              <w:rPr>
                <w:rFonts w:hint="eastAsia" w:ascii="仿宋" w:hAnsi="仿宋" w:eastAsia="仿宋" w:cs="仿宋"/>
                <w:sz w:val="24"/>
                <w:szCs w:val="24"/>
              </w:rPr>
              <w:t>计量单位</w:t>
            </w:r>
          </w:p>
        </w:tc>
        <w:tc>
          <w:tcPr>
            <w:tcW w:w="464" w:type="pct"/>
            <w:vAlign w:val="center"/>
          </w:tcPr>
          <w:p w14:paraId="1020B98B">
            <w:pPr>
              <w:pStyle w:val="10"/>
              <w:jc w:val="center"/>
              <w:rPr>
                <w:rFonts w:hint="eastAsia" w:ascii="仿宋" w:hAnsi="仿宋" w:eastAsia="仿宋" w:cs="仿宋"/>
                <w:sz w:val="24"/>
                <w:szCs w:val="24"/>
              </w:rPr>
            </w:pPr>
            <w:r>
              <w:rPr>
                <w:rFonts w:hint="eastAsia" w:ascii="仿宋" w:hAnsi="仿宋" w:eastAsia="仿宋" w:cs="仿宋"/>
                <w:sz w:val="24"/>
                <w:szCs w:val="24"/>
              </w:rPr>
              <w:t>所属行业</w:t>
            </w:r>
          </w:p>
        </w:tc>
        <w:tc>
          <w:tcPr>
            <w:tcW w:w="804" w:type="pct"/>
            <w:vAlign w:val="center"/>
          </w:tcPr>
          <w:p w14:paraId="7480C010">
            <w:pPr>
              <w:pStyle w:val="10"/>
              <w:jc w:val="center"/>
              <w:rPr>
                <w:rFonts w:hint="eastAsia" w:ascii="仿宋" w:hAnsi="仿宋" w:eastAsia="仿宋" w:cs="仿宋"/>
                <w:sz w:val="24"/>
                <w:szCs w:val="24"/>
              </w:rPr>
            </w:pPr>
            <w:r>
              <w:rPr>
                <w:rFonts w:hint="eastAsia" w:ascii="仿宋" w:hAnsi="仿宋" w:eastAsia="仿宋" w:cs="仿宋"/>
                <w:sz w:val="24"/>
                <w:szCs w:val="24"/>
              </w:rPr>
              <w:t>是否允许进口产品</w:t>
            </w:r>
          </w:p>
        </w:tc>
      </w:tr>
      <w:tr w14:paraId="7CDBF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3" w:type="pct"/>
            <w:vAlign w:val="center"/>
          </w:tcPr>
          <w:p w14:paraId="02D27FB3">
            <w:pPr>
              <w:pStyle w:val="10"/>
              <w:jc w:val="center"/>
              <w:rPr>
                <w:rFonts w:hint="eastAsia" w:ascii="仿宋" w:hAnsi="仿宋" w:eastAsia="仿宋" w:cs="仿宋"/>
                <w:sz w:val="24"/>
                <w:szCs w:val="24"/>
              </w:rPr>
            </w:pPr>
            <w:r>
              <w:rPr>
                <w:rFonts w:hint="eastAsia" w:ascii="仿宋" w:hAnsi="仿宋" w:eastAsia="仿宋" w:cs="仿宋"/>
                <w:sz w:val="24"/>
                <w:szCs w:val="24"/>
              </w:rPr>
              <w:t>1</w:t>
            </w:r>
          </w:p>
        </w:tc>
        <w:tc>
          <w:tcPr>
            <w:tcW w:w="1824" w:type="pct"/>
            <w:vAlign w:val="center"/>
          </w:tcPr>
          <w:p w14:paraId="43748769">
            <w:pPr>
              <w:pStyle w:val="1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邵武第一中学新校区教学保障类设备采购项目</w:t>
            </w:r>
          </w:p>
        </w:tc>
        <w:tc>
          <w:tcPr>
            <w:tcW w:w="309" w:type="pct"/>
            <w:vAlign w:val="center"/>
          </w:tcPr>
          <w:p w14:paraId="7302A50C">
            <w:pPr>
              <w:pStyle w:val="10"/>
              <w:jc w:val="center"/>
              <w:rPr>
                <w:rFonts w:hint="eastAsia" w:ascii="仿宋" w:hAnsi="仿宋" w:eastAsia="仿宋" w:cs="仿宋"/>
                <w:sz w:val="24"/>
                <w:szCs w:val="24"/>
              </w:rPr>
            </w:pPr>
            <w:r>
              <w:rPr>
                <w:rFonts w:hint="eastAsia" w:ascii="仿宋" w:hAnsi="仿宋" w:eastAsia="仿宋" w:cs="仿宋"/>
                <w:sz w:val="24"/>
                <w:szCs w:val="24"/>
              </w:rPr>
              <w:t>1.00</w:t>
            </w:r>
          </w:p>
        </w:tc>
        <w:tc>
          <w:tcPr>
            <w:tcW w:w="839" w:type="pct"/>
            <w:vAlign w:val="center"/>
          </w:tcPr>
          <w:p w14:paraId="7E20E21F">
            <w:pPr>
              <w:pStyle w:val="10"/>
              <w:jc w:val="center"/>
              <w:rPr>
                <w:rFonts w:hint="eastAsia" w:ascii="仿宋" w:hAnsi="仿宋" w:eastAsia="仿宋" w:cs="仿宋"/>
                <w:sz w:val="24"/>
                <w:szCs w:val="24"/>
              </w:rPr>
            </w:pPr>
            <w:r>
              <w:rPr>
                <w:rFonts w:hint="eastAsia" w:ascii="仿宋" w:hAnsi="仿宋" w:eastAsia="仿宋" w:cs="仿宋"/>
                <w:b w:val="0"/>
                <w:bCs/>
                <w:sz w:val="24"/>
                <w:szCs w:val="24"/>
              </w:rPr>
              <w:t>1,828,000.00</w:t>
            </w:r>
          </w:p>
        </w:tc>
        <w:tc>
          <w:tcPr>
            <w:tcW w:w="464" w:type="pct"/>
            <w:vAlign w:val="center"/>
          </w:tcPr>
          <w:p w14:paraId="1CE655A4">
            <w:pPr>
              <w:pStyle w:val="10"/>
              <w:jc w:val="center"/>
              <w:rPr>
                <w:rFonts w:hint="eastAsia" w:ascii="仿宋" w:hAnsi="仿宋" w:eastAsia="仿宋" w:cs="仿宋"/>
                <w:sz w:val="24"/>
                <w:szCs w:val="24"/>
              </w:rPr>
            </w:pPr>
            <w:r>
              <w:rPr>
                <w:rFonts w:hint="eastAsia" w:ascii="仿宋" w:hAnsi="仿宋" w:eastAsia="仿宋" w:cs="仿宋"/>
                <w:sz w:val="24"/>
                <w:szCs w:val="24"/>
              </w:rPr>
              <w:t>批</w:t>
            </w:r>
          </w:p>
        </w:tc>
        <w:tc>
          <w:tcPr>
            <w:tcW w:w="464" w:type="pct"/>
            <w:vAlign w:val="center"/>
          </w:tcPr>
          <w:p w14:paraId="739529EF">
            <w:pPr>
              <w:pStyle w:val="1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工业</w:t>
            </w:r>
          </w:p>
        </w:tc>
        <w:tc>
          <w:tcPr>
            <w:tcW w:w="804" w:type="pct"/>
            <w:vAlign w:val="center"/>
          </w:tcPr>
          <w:p w14:paraId="19C5057A">
            <w:pPr>
              <w:pStyle w:val="10"/>
              <w:jc w:val="center"/>
              <w:rPr>
                <w:rFonts w:hint="eastAsia" w:ascii="仿宋" w:hAnsi="仿宋" w:eastAsia="仿宋" w:cs="仿宋"/>
                <w:sz w:val="24"/>
                <w:szCs w:val="24"/>
              </w:rPr>
            </w:pPr>
            <w:r>
              <w:rPr>
                <w:rFonts w:hint="eastAsia" w:ascii="仿宋" w:hAnsi="仿宋" w:eastAsia="仿宋" w:cs="仿宋"/>
                <w:sz w:val="24"/>
                <w:szCs w:val="24"/>
              </w:rPr>
              <w:t>否</w:t>
            </w:r>
          </w:p>
        </w:tc>
      </w:tr>
    </w:tbl>
    <w:p w14:paraId="0F203150">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采购包1：</w:t>
      </w:r>
    </w:p>
    <w:p w14:paraId="5959FA74">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（1）报价要求：</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4"/>
        <w:gridCol w:w="3970"/>
        <w:gridCol w:w="943"/>
        <w:gridCol w:w="943"/>
        <w:gridCol w:w="1656"/>
        <w:gridCol w:w="943"/>
        <w:gridCol w:w="943"/>
      </w:tblGrid>
      <w:tr w14:paraId="45655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6" w:hRule="atLeast"/>
        </w:trPr>
        <w:tc>
          <w:tcPr>
            <w:tcW w:w="303" w:type="pct"/>
            <w:vAlign w:val="center"/>
          </w:tcPr>
          <w:p w14:paraId="245FE32E">
            <w:pPr>
              <w:pStyle w:val="1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011" w:type="pct"/>
            <w:vAlign w:val="center"/>
          </w:tcPr>
          <w:p w14:paraId="5BCEF3F5">
            <w:pPr>
              <w:pStyle w:val="10"/>
              <w:jc w:val="center"/>
              <w:rPr>
                <w:rFonts w:hint="eastAsia" w:ascii="仿宋" w:hAnsi="仿宋" w:eastAsia="仿宋" w:cs="仿宋"/>
                <w:sz w:val="24"/>
                <w:szCs w:val="24"/>
              </w:rPr>
            </w:pPr>
            <w:r>
              <w:rPr>
                <w:rFonts w:hint="eastAsia" w:ascii="仿宋" w:hAnsi="仿宋" w:eastAsia="仿宋" w:cs="仿宋"/>
                <w:sz w:val="24"/>
                <w:szCs w:val="24"/>
              </w:rPr>
              <w:t>报价内容</w:t>
            </w:r>
          </w:p>
        </w:tc>
        <w:tc>
          <w:tcPr>
            <w:tcW w:w="493" w:type="pct"/>
            <w:vAlign w:val="center"/>
          </w:tcPr>
          <w:p w14:paraId="08E7797B">
            <w:pPr>
              <w:pStyle w:val="10"/>
              <w:jc w:val="center"/>
              <w:rPr>
                <w:rFonts w:hint="eastAsia" w:ascii="仿宋" w:hAnsi="仿宋" w:eastAsia="仿宋" w:cs="仿宋"/>
                <w:sz w:val="24"/>
                <w:szCs w:val="24"/>
              </w:rPr>
            </w:pPr>
            <w:r>
              <w:rPr>
                <w:rFonts w:hint="eastAsia" w:ascii="仿宋" w:hAnsi="仿宋" w:eastAsia="仿宋" w:cs="仿宋"/>
                <w:sz w:val="24"/>
                <w:szCs w:val="24"/>
              </w:rPr>
              <w:t>计量单位</w:t>
            </w:r>
          </w:p>
        </w:tc>
        <w:tc>
          <w:tcPr>
            <w:tcW w:w="493" w:type="pct"/>
            <w:vAlign w:val="center"/>
          </w:tcPr>
          <w:p w14:paraId="4FDB61A2">
            <w:pPr>
              <w:pStyle w:val="10"/>
              <w:jc w:val="center"/>
              <w:rPr>
                <w:rFonts w:hint="eastAsia" w:ascii="仿宋" w:hAnsi="仿宋" w:eastAsia="仿宋" w:cs="仿宋"/>
                <w:sz w:val="24"/>
                <w:szCs w:val="24"/>
              </w:rPr>
            </w:pPr>
            <w:r>
              <w:rPr>
                <w:rFonts w:hint="eastAsia" w:ascii="仿宋" w:hAnsi="仿宋" w:eastAsia="仿宋" w:cs="仿宋"/>
                <w:sz w:val="24"/>
                <w:szCs w:val="24"/>
              </w:rPr>
              <w:t>报价单位</w:t>
            </w:r>
          </w:p>
        </w:tc>
        <w:tc>
          <w:tcPr>
            <w:tcW w:w="710" w:type="pct"/>
            <w:vAlign w:val="center"/>
          </w:tcPr>
          <w:p w14:paraId="19CD6AEB">
            <w:pPr>
              <w:pStyle w:val="10"/>
              <w:jc w:val="center"/>
              <w:rPr>
                <w:rFonts w:hint="eastAsia" w:ascii="仿宋" w:hAnsi="仿宋" w:eastAsia="仿宋" w:cs="仿宋"/>
                <w:sz w:val="24"/>
                <w:szCs w:val="24"/>
              </w:rPr>
            </w:pPr>
            <w:r>
              <w:rPr>
                <w:rFonts w:hint="eastAsia" w:ascii="仿宋" w:hAnsi="仿宋" w:eastAsia="仿宋" w:cs="仿宋"/>
                <w:sz w:val="24"/>
                <w:szCs w:val="24"/>
              </w:rPr>
              <w:t>最高限价</w:t>
            </w:r>
          </w:p>
        </w:tc>
        <w:tc>
          <w:tcPr>
            <w:tcW w:w="493" w:type="pct"/>
            <w:vAlign w:val="center"/>
          </w:tcPr>
          <w:p w14:paraId="39AA23EA">
            <w:pPr>
              <w:pStyle w:val="10"/>
              <w:jc w:val="center"/>
              <w:rPr>
                <w:rFonts w:hint="eastAsia" w:ascii="仿宋" w:hAnsi="仿宋" w:eastAsia="仿宋" w:cs="仿宋"/>
                <w:sz w:val="24"/>
                <w:szCs w:val="24"/>
              </w:rPr>
            </w:pPr>
            <w:r>
              <w:rPr>
                <w:rFonts w:hint="eastAsia" w:ascii="仿宋" w:hAnsi="仿宋" w:eastAsia="仿宋" w:cs="仿宋"/>
                <w:sz w:val="24"/>
                <w:szCs w:val="24"/>
              </w:rPr>
              <w:t>价款形式</w:t>
            </w:r>
          </w:p>
        </w:tc>
        <w:tc>
          <w:tcPr>
            <w:tcW w:w="493" w:type="pct"/>
            <w:vAlign w:val="center"/>
          </w:tcPr>
          <w:p w14:paraId="38492060">
            <w:pPr>
              <w:pStyle w:val="10"/>
              <w:jc w:val="center"/>
              <w:rPr>
                <w:rFonts w:hint="eastAsia" w:ascii="仿宋" w:hAnsi="仿宋" w:eastAsia="仿宋" w:cs="仿宋"/>
                <w:sz w:val="24"/>
                <w:szCs w:val="24"/>
              </w:rPr>
            </w:pPr>
            <w:r>
              <w:rPr>
                <w:rFonts w:hint="eastAsia" w:ascii="仿宋" w:hAnsi="仿宋" w:eastAsia="仿宋" w:cs="仿宋"/>
                <w:sz w:val="24"/>
                <w:szCs w:val="24"/>
              </w:rPr>
              <w:t>报价说明</w:t>
            </w:r>
          </w:p>
        </w:tc>
      </w:tr>
      <w:tr w14:paraId="05574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 w:type="pct"/>
            <w:vAlign w:val="center"/>
          </w:tcPr>
          <w:p w14:paraId="60D6A7BB">
            <w:pPr>
              <w:pStyle w:val="10"/>
              <w:jc w:val="center"/>
              <w:rPr>
                <w:rFonts w:hint="eastAsia" w:ascii="仿宋" w:hAnsi="仿宋" w:eastAsia="仿宋" w:cs="仿宋"/>
                <w:sz w:val="24"/>
                <w:szCs w:val="24"/>
              </w:rPr>
            </w:pPr>
            <w:r>
              <w:rPr>
                <w:rFonts w:hint="eastAsia" w:ascii="仿宋" w:hAnsi="仿宋" w:eastAsia="仿宋" w:cs="仿宋"/>
                <w:sz w:val="24"/>
                <w:szCs w:val="24"/>
              </w:rPr>
              <w:t>1</w:t>
            </w:r>
          </w:p>
        </w:tc>
        <w:tc>
          <w:tcPr>
            <w:tcW w:w="2011" w:type="pct"/>
            <w:vAlign w:val="center"/>
          </w:tcPr>
          <w:p w14:paraId="2BD4B456">
            <w:pPr>
              <w:pStyle w:val="1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邵武第一中学新校区教学保障类设备采购项目</w:t>
            </w:r>
          </w:p>
        </w:tc>
        <w:tc>
          <w:tcPr>
            <w:tcW w:w="493" w:type="pct"/>
            <w:vAlign w:val="center"/>
          </w:tcPr>
          <w:p w14:paraId="1F4C3A0B">
            <w:pPr>
              <w:pStyle w:val="10"/>
              <w:jc w:val="center"/>
              <w:rPr>
                <w:rFonts w:hint="eastAsia" w:ascii="仿宋" w:hAnsi="仿宋" w:eastAsia="仿宋" w:cs="仿宋"/>
                <w:sz w:val="24"/>
                <w:szCs w:val="24"/>
              </w:rPr>
            </w:pPr>
            <w:r>
              <w:rPr>
                <w:rFonts w:hint="eastAsia" w:ascii="仿宋" w:hAnsi="仿宋" w:eastAsia="仿宋" w:cs="仿宋"/>
                <w:sz w:val="24"/>
                <w:szCs w:val="24"/>
              </w:rPr>
              <w:t>批</w:t>
            </w:r>
          </w:p>
        </w:tc>
        <w:tc>
          <w:tcPr>
            <w:tcW w:w="493" w:type="pct"/>
            <w:vAlign w:val="center"/>
          </w:tcPr>
          <w:p w14:paraId="63CC1FAF">
            <w:pPr>
              <w:pStyle w:val="10"/>
              <w:jc w:val="center"/>
              <w:rPr>
                <w:rFonts w:hint="eastAsia" w:ascii="仿宋" w:hAnsi="仿宋" w:eastAsia="仿宋" w:cs="仿宋"/>
                <w:sz w:val="24"/>
                <w:szCs w:val="24"/>
              </w:rPr>
            </w:pPr>
            <w:r>
              <w:rPr>
                <w:rFonts w:hint="eastAsia" w:ascii="仿宋" w:hAnsi="仿宋" w:eastAsia="仿宋" w:cs="仿宋"/>
                <w:sz w:val="24"/>
                <w:szCs w:val="24"/>
              </w:rPr>
              <w:t>元</w:t>
            </w:r>
          </w:p>
        </w:tc>
        <w:tc>
          <w:tcPr>
            <w:tcW w:w="710" w:type="pct"/>
            <w:vAlign w:val="center"/>
          </w:tcPr>
          <w:p w14:paraId="1A0079BC">
            <w:pPr>
              <w:pStyle w:val="10"/>
              <w:jc w:val="center"/>
              <w:rPr>
                <w:rFonts w:hint="eastAsia" w:ascii="仿宋" w:hAnsi="仿宋" w:eastAsia="仿宋" w:cs="仿宋"/>
                <w:sz w:val="24"/>
                <w:szCs w:val="24"/>
              </w:rPr>
            </w:pPr>
            <w:r>
              <w:rPr>
                <w:rFonts w:hint="eastAsia" w:ascii="仿宋" w:hAnsi="仿宋" w:eastAsia="仿宋" w:cs="仿宋"/>
                <w:sz w:val="24"/>
                <w:szCs w:val="24"/>
              </w:rPr>
              <w:t>1,828,000.00</w:t>
            </w:r>
          </w:p>
        </w:tc>
        <w:tc>
          <w:tcPr>
            <w:tcW w:w="493" w:type="pct"/>
            <w:vAlign w:val="center"/>
          </w:tcPr>
          <w:p w14:paraId="4361FDEA">
            <w:pPr>
              <w:pStyle w:val="10"/>
              <w:jc w:val="center"/>
              <w:rPr>
                <w:rFonts w:hint="eastAsia" w:ascii="仿宋" w:hAnsi="仿宋" w:eastAsia="仿宋" w:cs="仿宋"/>
                <w:sz w:val="24"/>
                <w:szCs w:val="24"/>
              </w:rPr>
            </w:pPr>
            <w:r>
              <w:rPr>
                <w:rFonts w:hint="eastAsia" w:ascii="仿宋" w:hAnsi="仿宋" w:eastAsia="仿宋" w:cs="仿宋"/>
                <w:sz w:val="24"/>
                <w:szCs w:val="24"/>
              </w:rPr>
              <w:t>总价</w:t>
            </w:r>
          </w:p>
        </w:tc>
        <w:tc>
          <w:tcPr>
            <w:tcW w:w="493" w:type="pct"/>
            <w:vAlign w:val="center"/>
          </w:tcPr>
          <w:p w14:paraId="1B15A4ED">
            <w:pPr>
              <w:pStyle w:val="10"/>
              <w:jc w:val="center"/>
              <w:rPr>
                <w:rFonts w:hint="eastAsia" w:ascii="仿宋" w:hAnsi="仿宋" w:eastAsia="仿宋" w:cs="仿宋"/>
                <w:sz w:val="24"/>
                <w:szCs w:val="24"/>
              </w:rPr>
            </w:pPr>
            <w:r>
              <w:rPr>
                <w:rFonts w:hint="eastAsia" w:ascii="仿宋" w:hAnsi="仿宋" w:eastAsia="仿宋" w:cs="仿宋"/>
                <w:sz w:val="24"/>
                <w:szCs w:val="24"/>
              </w:rPr>
              <w:t>无</w:t>
            </w:r>
          </w:p>
        </w:tc>
      </w:tr>
    </w:tbl>
    <w:p w14:paraId="053822DF">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（2）报价明细要求：</w:t>
      </w:r>
    </w:p>
    <w:p w14:paraId="5DCD570A">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邵武第一中学新校区教学保障类设备采购项目</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2"/>
        <w:gridCol w:w="2313"/>
        <w:gridCol w:w="2314"/>
        <w:gridCol w:w="686"/>
        <w:gridCol w:w="686"/>
        <w:gridCol w:w="1656"/>
        <w:gridCol w:w="686"/>
        <w:gridCol w:w="1139"/>
      </w:tblGrid>
      <w:tr w14:paraId="71B57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6975B317">
            <w:pPr>
              <w:pStyle w:val="1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177" w:type="pct"/>
            <w:vAlign w:val="center"/>
          </w:tcPr>
          <w:p w14:paraId="0A3BC95E">
            <w:pPr>
              <w:pStyle w:val="10"/>
              <w:jc w:val="center"/>
              <w:rPr>
                <w:rFonts w:hint="eastAsia" w:ascii="仿宋" w:hAnsi="仿宋" w:eastAsia="仿宋" w:cs="仿宋"/>
                <w:sz w:val="24"/>
                <w:szCs w:val="24"/>
              </w:rPr>
            </w:pPr>
            <w:r>
              <w:rPr>
                <w:rFonts w:hint="eastAsia" w:ascii="仿宋" w:hAnsi="仿宋" w:eastAsia="仿宋" w:cs="仿宋"/>
                <w:sz w:val="24"/>
                <w:szCs w:val="24"/>
              </w:rPr>
              <w:t>报价明细内容</w:t>
            </w:r>
          </w:p>
        </w:tc>
        <w:tc>
          <w:tcPr>
            <w:tcW w:w="1177" w:type="pct"/>
            <w:vAlign w:val="center"/>
          </w:tcPr>
          <w:p w14:paraId="4BB79713">
            <w:pPr>
              <w:pStyle w:val="10"/>
              <w:jc w:val="center"/>
              <w:rPr>
                <w:rFonts w:hint="eastAsia" w:ascii="仿宋" w:hAnsi="仿宋" w:eastAsia="仿宋" w:cs="仿宋"/>
                <w:sz w:val="24"/>
                <w:szCs w:val="24"/>
              </w:rPr>
            </w:pPr>
            <w:r>
              <w:rPr>
                <w:rFonts w:hint="eastAsia" w:ascii="仿宋" w:hAnsi="仿宋" w:eastAsia="仿宋" w:cs="仿宋"/>
                <w:sz w:val="24"/>
                <w:szCs w:val="24"/>
              </w:rPr>
              <w:t>报价要求</w:t>
            </w:r>
          </w:p>
        </w:tc>
        <w:tc>
          <w:tcPr>
            <w:tcW w:w="361" w:type="pct"/>
            <w:vAlign w:val="center"/>
          </w:tcPr>
          <w:p w14:paraId="337CF870">
            <w:pPr>
              <w:pStyle w:val="10"/>
              <w:jc w:val="center"/>
              <w:rPr>
                <w:rFonts w:hint="eastAsia" w:ascii="仿宋" w:hAnsi="仿宋" w:eastAsia="仿宋" w:cs="仿宋"/>
                <w:sz w:val="24"/>
                <w:szCs w:val="24"/>
              </w:rPr>
            </w:pPr>
            <w:r>
              <w:rPr>
                <w:rFonts w:hint="eastAsia" w:ascii="仿宋" w:hAnsi="仿宋" w:eastAsia="仿宋" w:cs="仿宋"/>
                <w:sz w:val="24"/>
                <w:szCs w:val="24"/>
              </w:rPr>
              <w:t>计量单位</w:t>
            </w:r>
          </w:p>
        </w:tc>
        <w:tc>
          <w:tcPr>
            <w:tcW w:w="361" w:type="pct"/>
            <w:vAlign w:val="center"/>
          </w:tcPr>
          <w:p w14:paraId="7236B2E7">
            <w:pPr>
              <w:pStyle w:val="10"/>
              <w:jc w:val="center"/>
              <w:rPr>
                <w:rFonts w:hint="eastAsia" w:ascii="仿宋" w:hAnsi="仿宋" w:eastAsia="仿宋" w:cs="仿宋"/>
                <w:sz w:val="24"/>
                <w:szCs w:val="24"/>
              </w:rPr>
            </w:pPr>
            <w:r>
              <w:rPr>
                <w:rFonts w:hint="eastAsia" w:ascii="仿宋" w:hAnsi="仿宋" w:eastAsia="仿宋" w:cs="仿宋"/>
                <w:sz w:val="24"/>
                <w:szCs w:val="24"/>
              </w:rPr>
              <w:t>报价单位</w:t>
            </w:r>
          </w:p>
        </w:tc>
        <w:tc>
          <w:tcPr>
            <w:tcW w:w="710" w:type="pct"/>
            <w:vAlign w:val="center"/>
          </w:tcPr>
          <w:p w14:paraId="27C93254">
            <w:pPr>
              <w:pStyle w:val="10"/>
              <w:jc w:val="center"/>
              <w:rPr>
                <w:rFonts w:hint="eastAsia" w:ascii="仿宋" w:hAnsi="仿宋" w:eastAsia="仿宋" w:cs="仿宋"/>
                <w:sz w:val="24"/>
                <w:szCs w:val="24"/>
              </w:rPr>
            </w:pPr>
            <w:r>
              <w:rPr>
                <w:rFonts w:hint="eastAsia" w:ascii="仿宋" w:hAnsi="仿宋" w:eastAsia="仿宋" w:cs="仿宋"/>
                <w:sz w:val="24"/>
                <w:szCs w:val="24"/>
              </w:rPr>
              <w:t>最高限价</w:t>
            </w:r>
          </w:p>
        </w:tc>
        <w:tc>
          <w:tcPr>
            <w:tcW w:w="361" w:type="pct"/>
            <w:vAlign w:val="center"/>
          </w:tcPr>
          <w:p w14:paraId="64CB363D">
            <w:pPr>
              <w:pStyle w:val="10"/>
              <w:jc w:val="center"/>
              <w:rPr>
                <w:rFonts w:hint="eastAsia" w:ascii="仿宋" w:hAnsi="仿宋" w:eastAsia="仿宋" w:cs="仿宋"/>
                <w:sz w:val="24"/>
                <w:szCs w:val="24"/>
              </w:rPr>
            </w:pPr>
            <w:r>
              <w:rPr>
                <w:rFonts w:hint="eastAsia" w:ascii="仿宋" w:hAnsi="仿宋" w:eastAsia="仿宋" w:cs="仿宋"/>
                <w:sz w:val="24"/>
                <w:szCs w:val="24"/>
              </w:rPr>
              <w:t>价款形式</w:t>
            </w:r>
          </w:p>
        </w:tc>
        <w:tc>
          <w:tcPr>
            <w:tcW w:w="588" w:type="pct"/>
            <w:vAlign w:val="center"/>
          </w:tcPr>
          <w:p w14:paraId="7E0BEE5F">
            <w:pPr>
              <w:pStyle w:val="10"/>
              <w:jc w:val="center"/>
              <w:rPr>
                <w:rFonts w:hint="eastAsia" w:ascii="仿宋" w:hAnsi="仿宋" w:eastAsia="仿宋" w:cs="仿宋"/>
                <w:sz w:val="24"/>
                <w:szCs w:val="24"/>
              </w:rPr>
            </w:pPr>
            <w:r>
              <w:rPr>
                <w:rFonts w:hint="eastAsia" w:ascii="仿宋" w:hAnsi="仿宋" w:eastAsia="仿宋" w:cs="仿宋"/>
                <w:sz w:val="24"/>
                <w:szCs w:val="24"/>
              </w:rPr>
              <w:t>报价说明</w:t>
            </w:r>
          </w:p>
        </w:tc>
      </w:tr>
      <w:tr w14:paraId="268DB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5B90BB4B">
            <w:pPr>
              <w:pStyle w:val="10"/>
              <w:jc w:val="center"/>
              <w:rPr>
                <w:rFonts w:hint="eastAsia" w:ascii="仿宋" w:hAnsi="仿宋" w:eastAsia="仿宋" w:cs="仿宋"/>
                <w:sz w:val="24"/>
                <w:szCs w:val="24"/>
              </w:rPr>
            </w:pPr>
            <w:r>
              <w:rPr>
                <w:rFonts w:hint="eastAsia" w:ascii="仿宋" w:hAnsi="仿宋" w:eastAsia="仿宋" w:cs="仿宋"/>
                <w:sz w:val="24"/>
                <w:szCs w:val="24"/>
              </w:rPr>
              <w:t>1</w:t>
            </w:r>
          </w:p>
        </w:tc>
        <w:tc>
          <w:tcPr>
            <w:tcW w:w="1177" w:type="pct"/>
            <w:vAlign w:val="center"/>
          </w:tcPr>
          <w:p w14:paraId="6C34FB7A">
            <w:pPr>
              <w:pStyle w:val="1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邵武第一中学新校区教学保障类设备采购项目</w:t>
            </w:r>
          </w:p>
        </w:tc>
        <w:tc>
          <w:tcPr>
            <w:tcW w:w="1177" w:type="pct"/>
            <w:vAlign w:val="center"/>
          </w:tcPr>
          <w:p w14:paraId="6DA00E6A">
            <w:pPr>
              <w:pStyle w:val="1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邵武第一中学新校区教学保障类设备采购项目</w:t>
            </w:r>
          </w:p>
        </w:tc>
        <w:tc>
          <w:tcPr>
            <w:tcW w:w="361" w:type="pct"/>
            <w:vAlign w:val="center"/>
          </w:tcPr>
          <w:p w14:paraId="6384542A">
            <w:pPr>
              <w:pStyle w:val="10"/>
              <w:jc w:val="center"/>
              <w:rPr>
                <w:rFonts w:hint="eastAsia" w:ascii="仿宋" w:hAnsi="仿宋" w:eastAsia="仿宋" w:cs="仿宋"/>
                <w:sz w:val="24"/>
                <w:szCs w:val="24"/>
              </w:rPr>
            </w:pPr>
            <w:r>
              <w:rPr>
                <w:rFonts w:hint="eastAsia" w:ascii="仿宋" w:hAnsi="仿宋" w:eastAsia="仿宋" w:cs="仿宋"/>
                <w:sz w:val="24"/>
                <w:szCs w:val="24"/>
              </w:rPr>
              <w:t>批</w:t>
            </w:r>
          </w:p>
        </w:tc>
        <w:tc>
          <w:tcPr>
            <w:tcW w:w="361" w:type="pct"/>
            <w:vAlign w:val="center"/>
          </w:tcPr>
          <w:p w14:paraId="3B0EE43C">
            <w:pPr>
              <w:pStyle w:val="10"/>
              <w:jc w:val="center"/>
              <w:rPr>
                <w:rFonts w:hint="eastAsia" w:ascii="仿宋" w:hAnsi="仿宋" w:eastAsia="仿宋" w:cs="仿宋"/>
                <w:sz w:val="24"/>
                <w:szCs w:val="24"/>
              </w:rPr>
            </w:pPr>
            <w:r>
              <w:rPr>
                <w:rFonts w:hint="eastAsia" w:ascii="仿宋" w:hAnsi="仿宋" w:eastAsia="仿宋" w:cs="仿宋"/>
                <w:sz w:val="24"/>
                <w:szCs w:val="24"/>
              </w:rPr>
              <w:t>元</w:t>
            </w:r>
          </w:p>
        </w:tc>
        <w:tc>
          <w:tcPr>
            <w:tcW w:w="710" w:type="pct"/>
            <w:vAlign w:val="center"/>
          </w:tcPr>
          <w:p w14:paraId="6A230AF2">
            <w:pPr>
              <w:pStyle w:val="10"/>
              <w:jc w:val="center"/>
              <w:rPr>
                <w:rFonts w:hint="eastAsia" w:ascii="仿宋" w:hAnsi="仿宋" w:eastAsia="仿宋" w:cs="仿宋"/>
                <w:sz w:val="24"/>
                <w:szCs w:val="24"/>
                <w:lang w:eastAsia="zh-CN"/>
              </w:rPr>
            </w:pPr>
            <w:r>
              <w:rPr>
                <w:rFonts w:hint="eastAsia" w:ascii="仿宋" w:hAnsi="仿宋" w:eastAsia="仿宋" w:cs="仿宋"/>
                <w:sz w:val="24"/>
                <w:szCs w:val="24"/>
              </w:rPr>
              <w:t>1,828,000.00</w:t>
            </w:r>
          </w:p>
        </w:tc>
        <w:tc>
          <w:tcPr>
            <w:tcW w:w="361" w:type="pct"/>
            <w:vAlign w:val="center"/>
          </w:tcPr>
          <w:p w14:paraId="6DE4EF02">
            <w:pPr>
              <w:pStyle w:val="10"/>
              <w:jc w:val="center"/>
              <w:rPr>
                <w:rFonts w:hint="eastAsia" w:ascii="仿宋" w:hAnsi="仿宋" w:eastAsia="仿宋" w:cs="仿宋"/>
                <w:sz w:val="24"/>
                <w:szCs w:val="24"/>
              </w:rPr>
            </w:pPr>
            <w:r>
              <w:rPr>
                <w:rFonts w:hint="eastAsia" w:ascii="仿宋" w:hAnsi="仿宋" w:eastAsia="仿宋" w:cs="仿宋"/>
                <w:sz w:val="24"/>
                <w:szCs w:val="24"/>
              </w:rPr>
              <w:t>总价</w:t>
            </w:r>
          </w:p>
        </w:tc>
        <w:tc>
          <w:tcPr>
            <w:tcW w:w="588" w:type="pct"/>
            <w:vAlign w:val="center"/>
          </w:tcPr>
          <w:p w14:paraId="0DE653CA">
            <w:pPr>
              <w:jc w:val="center"/>
              <w:rPr>
                <w:rFonts w:hint="eastAsia" w:ascii="仿宋" w:hAnsi="仿宋" w:eastAsia="仿宋" w:cs="仿宋"/>
                <w:sz w:val="24"/>
                <w:szCs w:val="24"/>
              </w:rPr>
            </w:pPr>
            <w:r>
              <w:rPr>
                <w:rFonts w:ascii="仿宋_GB2312" w:hAnsi="仿宋_GB2312" w:eastAsia="仿宋_GB2312" w:cs="仿宋_GB2312"/>
                <w:sz w:val="24"/>
                <w:szCs w:val="24"/>
              </w:rPr>
              <w:t>不得超过最高限价</w:t>
            </w:r>
          </w:p>
        </w:tc>
      </w:tr>
    </w:tbl>
    <w:p w14:paraId="3D47F9FE">
      <w:pPr>
        <w:pStyle w:val="1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p>
    <w:p w14:paraId="3BA8EBF4">
      <w:pPr>
        <w:rPr>
          <w:rFonts w:ascii="仿宋_GB2312" w:hAnsi="仿宋_GB2312" w:eastAsia="仿宋_GB2312" w:cs="仿宋_GB2312"/>
          <w:b/>
          <w:sz w:val="24"/>
          <w:szCs w:val="24"/>
        </w:rPr>
      </w:pPr>
      <w:r>
        <w:rPr>
          <w:rFonts w:ascii="仿宋_GB2312" w:hAnsi="仿宋_GB2312" w:eastAsia="仿宋_GB2312" w:cs="仿宋_GB2312"/>
          <w:b/>
          <w:sz w:val="24"/>
          <w:szCs w:val="24"/>
        </w:rPr>
        <w:br w:type="page"/>
      </w:r>
    </w:p>
    <w:p w14:paraId="4D38D8C8">
      <w:pPr>
        <w:pStyle w:val="10"/>
        <w:jc w:val="center"/>
        <w:outlineLvl w:val="1"/>
      </w:pPr>
      <w:r>
        <w:rPr>
          <w:rFonts w:ascii="仿宋_GB2312" w:hAnsi="仿宋_GB2312" w:eastAsia="仿宋_GB2312" w:cs="仿宋_GB2312"/>
          <w:b/>
          <w:sz w:val="36"/>
        </w:rPr>
        <w:t>第二章 询价须知（表1、表2）</w:t>
      </w:r>
    </w:p>
    <w:p w14:paraId="143A3604">
      <w:pPr>
        <w:pStyle w:val="10"/>
        <w:jc w:val="center"/>
        <w:outlineLvl w:val="2"/>
      </w:pPr>
      <w:r>
        <w:rPr>
          <w:rFonts w:ascii="仿宋_GB2312" w:hAnsi="仿宋_GB2312" w:eastAsia="仿宋_GB2312" w:cs="仿宋_GB2312"/>
          <w:b/>
          <w:sz w:val="28"/>
        </w:rPr>
        <w:t>第1节 询价须知前附表（表1、表2）</w:t>
      </w:r>
    </w:p>
    <w:p w14:paraId="178D3E7C">
      <w:pPr>
        <w:pStyle w:val="10"/>
        <w:jc w:val="center"/>
        <w:outlineLvl w:val="2"/>
      </w:pPr>
      <w:r>
        <w:rPr>
          <w:rFonts w:ascii="仿宋_GB2312" w:hAnsi="仿宋_GB2312" w:eastAsia="仿宋_GB2312" w:cs="仿宋_GB2312"/>
          <w:b/>
          <w:sz w:val="28"/>
        </w:rPr>
        <w:t>一、询价须知前附表1</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847"/>
        <w:gridCol w:w="8659"/>
      </w:tblGrid>
      <w:tr w14:paraId="2D9F4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0" w:hRule="atLeast"/>
        </w:trPr>
        <w:tc>
          <w:tcPr>
            <w:tcW w:w="5000" w:type="pct"/>
            <w:gridSpan w:val="3"/>
            <w:vAlign w:val="center"/>
          </w:tcPr>
          <w:p w14:paraId="388FC775">
            <w:pPr>
              <w:pStyle w:val="10"/>
              <w:jc w:val="left"/>
              <w:rPr>
                <w:rFonts w:hint="eastAsia" w:ascii="仿宋" w:hAnsi="仿宋" w:eastAsia="仿宋" w:cs="仿宋"/>
                <w:sz w:val="24"/>
                <w:szCs w:val="24"/>
              </w:rPr>
            </w:pPr>
            <w:r>
              <w:rPr>
                <w:rFonts w:hint="eastAsia" w:ascii="仿宋" w:hAnsi="仿宋" w:eastAsia="仿宋" w:cs="仿宋"/>
                <w:sz w:val="24"/>
                <w:szCs w:val="24"/>
              </w:rPr>
              <w:t>特别提示：本表与询价通知书对应章节的内容若不一致，以本表为准。</w:t>
            </w:r>
          </w:p>
        </w:tc>
      </w:tr>
      <w:tr w14:paraId="13737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vAlign w:val="center"/>
          </w:tcPr>
          <w:p w14:paraId="419D0E77">
            <w:pPr>
              <w:pStyle w:val="10"/>
              <w:jc w:val="center"/>
              <w:rPr>
                <w:rFonts w:hint="eastAsia" w:ascii="仿宋" w:hAnsi="仿宋" w:eastAsia="仿宋" w:cs="仿宋"/>
                <w:sz w:val="24"/>
                <w:szCs w:val="24"/>
              </w:rPr>
            </w:pPr>
            <w:r>
              <w:rPr>
                <w:rFonts w:hint="eastAsia" w:ascii="仿宋" w:hAnsi="仿宋" w:eastAsia="仿宋" w:cs="仿宋"/>
                <w:sz w:val="24"/>
                <w:szCs w:val="24"/>
              </w:rPr>
              <w:t>序号</w:t>
            </w:r>
          </w:p>
        </w:tc>
        <w:tc>
          <w:tcPr>
            <w:tcW w:w="426" w:type="pct"/>
            <w:vAlign w:val="center"/>
          </w:tcPr>
          <w:p w14:paraId="29D4FDC3">
            <w:pPr>
              <w:pStyle w:val="10"/>
              <w:jc w:val="center"/>
              <w:rPr>
                <w:rFonts w:hint="eastAsia" w:ascii="仿宋" w:hAnsi="仿宋" w:eastAsia="仿宋" w:cs="仿宋"/>
                <w:sz w:val="24"/>
                <w:szCs w:val="24"/>
              </w:rPr>
            </w:pPr>
            <w:r>
              <w:rPr>
                <w:rFonts w:hint="eastAsia" w:ascii="仿宋" w:hAnsi="仿宋" w:eastAsia="仿宋" w:cs="仿宋"/>
                <w:sz w:val="24"/>
                <w:szCs w:val="24"/>
              </w:rPr>
              <w:t>条款号</w:t>
            </w:r>
          </w:p>
        </w:tc>
        <w:tc>
          <w:tcPr>
            <w:tcW w:w="4345" w:type="pct"/>
            <w:vAlign w:val="center"/>
          </w:tcPr>
          <w:p w14:paraId="513A5D25">
            <w:pPr>
              <w:pStyle w:val="10"/>
              <w:jc w:val="center"/>
              <w:rPr>
                <w:rFonts w:hint="eastAsia" w:ascii="仿宋" w:hAnsi="仿宋" w:eastAsia="仿宋" w:cs="仿宋"/>
                <w:sz w:val="24"/>
                <w:szCs w:val="24"/>
              </w:rPr>
            </w:pPr>
            <w:r>
              <w:rPr>
                <w:rFonts w:hint="eastAsia" w:ascii="仿宋" w:hAnsi="仿宋" w:eastAsia="仿宋" w:cs="仿宋"/>
                <w:sz w:val="24"/>
                <w:szCs w:val="24"/>
              </w:rPr>
              <w:t>编列内容</w:t>
            </w:r>
          </w:p>
        </w:tc>
      </w:tr>
      <w:tr w14:paraId="5119C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vAlign w:val="center"/>
          </w:tcPr>
          <w:p w14:paraId="57949E16">
            <w:pPr>
              <w:pStyle w:val="10"/>
              <w:jc w:val="center"/>
              <w:rPr>
                <w:rFonts w:hint="eastAsia" w:ascii="仿宋" w:hAnsi="仿宋" w:eastAsia="仿宋" w:cs="仿宋"/>
                <w:sz w:val="24"/>
                <w:szCs w:val="24"/>
              </w:rPr>
            </w:pPr>
            <w:r>
              <w:rPr>
                <w:rFonts w:hint="eastAsia" w:ascii="仿宋" w:hAnsi="仿宋" w:eastAsia="仿宋" w:cs="仿宋"/>
                <w:sz w:val="24"/>
                <w:szCs w:val="24"/>
              </w:rPr>
              <w:t>1</w:t>
            </w:r>
          </w:p>
        </w:tc>
        <w:tc>
          <w:tcPr>
            <w:tcW w:w="426" w:type="pct"/>
            <w:vAlign w:val="center"/>
          </w:tcPr>
          <w:p w14:paraId="5322B741">
            <w:pPr>
              <w:pStyle w:val="10"/>
              <w:jc w:val="center"/>
              <w:rPr>
                <w:rFonts w:hint="eastAsia" w:ascii="仿宋" w:hAnsi="仿宋" w:eastAsia="仿宋" w:cs="仿宋"/>
                <w:sz w:val="24"/>
                <w:szCs w:val="24"/>
              </w:rPr>
            </w:pPr>
            <w:r>
              <w:rPr>
                <w:rFonts w:hint="eastAsia" w:ascii="仿宋" w:hAnsi="仿宋" w:eastAsia="仿宋" w:cs="仿宋"/>
                <w:sz w:val="24"/>
                <w:szCs w:val="24"/>
              </w:rPr>
              <w:t>3.1</w:t>
            </w:r>
          </w:p>
          <w:p w14:paraId="7F1ECBCF">
            <w:pPr>
              <w:pStyle w:val="10"/>
              <w:jc w:val="center"/>
              <w:rPr>
                <w:rFonts w:hint="eastAsia" w:ascii="仿宋" w:hAnsi="仿宋" w:eastAsia="仿宋" w:cs="仿宋"/>
                <w:sz w:val="24"/>
                <w:szCs w:val="24"/>
              </w:rPr>
            </w:pPr>
            <w:r>
              <w:rPr>
                <w:rFonts w:hint="eastAsia" w:ascii="仿宋" w:hAnsi="仿宋" w:eastAsia="仿宋" w:cs="仿宋"/>
                <w:sz w:val="24"/>
                <w:szCs w:val="24"/>
              </w:rPr>
              <w:t>（2）</w:t>
            </w:r>
          </w:p>
        </w:tc>
        <w:tc>
          <w:tcPr>
            <w:tcW w:w="4345" w:type="pct"/>
          </w:tcPr>
          <w:p w14:paraId="1F0EDB9F">
            <w:pPr>
              <w:pStyle w:val="10"/>
              <w:jc w:val="left"/>
              <w:rPr>
                <w:rFonts w:hint="eastAsia" w:ascii="仿宋" w:hAnsi="仿宋" w:eastAsia="仿宋" w:cs="仿宋"/>
                <w:sz w:val="24"/>
                <w:szCs w:val="24"/>
              </w:rPr>
            </w:pPr>
            <w:r>
              <w:rPr>
                <w:rFonts w:hint="eastAsia" w:ascii="仿宋" w:hAnsi="仿宋" w:eastAsia="仿宋" w:cs="仿宋"/>
                <w:sz w:val="24"/>
                <w:szCs w:val="24"/>
              </w:rPr>
              <w:t>供应商的资格要求：</w:t>
            </w:r>
          </w:p>
          <w:p w14:paraId="1A09DCB6">
            <w:pPr>
              <w:pStyle w:val="10"/>
              <w:jc w:val="left"/>
              <w:rPr>
                <w:rFonts w:hint="eastAsia" w:ascii="仿宋" w:hAnsi="仿宋" w:eastAsia="仿宋" w:cs="仿宋"/>
                <w:sz w:val="24"/>
                <w:szCs w:val="24"/>
              </w:rPr>
            </w:pPr>
            <w:r>
              <w:rPr>
                <w:rFonts w:hint="eastAsia" w:ascii="仿宋" w:hAnsi="仿宋" w:eastAsia="仿宋" w:cs="仿宋"/>
                <w:sz w:val="24"/>
                <w:szCs w:val="24"/>
              </w:rPr>
              <w:t>（1）法定条件：符合政府采购法第二十二条第一款规定的条件。</w:t>
            </w:r>
          </w:p>
          <w:p w14:paraId="6A0B6CF3">
            <w:pPr>
              <w:pStyle w:val="10"/>
              <w:jc w:val="left"/>
              <w:rPr>
                <w:rFonts w:hint="eastAsia" w:ascii="仿宋" w:hAnsi="仿宋" w:eastAsia="仿宋" w:cs="仿宋"/>
                <w:sz w:val="24"/>
                <w:szCs w:val="24"/>
              </w:rPr>
            </w:pPr>
            <w:r>
              <w:rPr>
                <w:rFonts w:hint="eastAsia" w:ascii="仿宋" w:hAnsi="仿宋" w:eastAsia="仿宋" w:cs="仿宋"/>
                <w:sz w:val="24"/>
                <w:szCs w:val="24"/>
              </w:rPr>
              <w:t>采购包1：</w:t>
            </w:r>
          </w:p>
          <w:tbl>
            <w:tblPr>
              <w:tblStyle w:val="7"/>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345"/>
              <w:gridCol w:w="6634"/>
            </w:tblGrid>
            <w:tr w14:paraId="55974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055E7DAC">
                  <w:pPr>
                    <w:pStyle w:val="10"/>
                    <w:jc w:val="center"/>
                    <w:rPr>
                      <w:rFonts w:hint="eastAsia" w:ascii="仿宋" w:hAnsi="仿宋" w:eastAsia="仿宋" w:cs="仿宋"/>
                      <w:sz w:val="24"/>
                      <w:szCs w:val="24"/>
                    </w:rPr>
                  </w:pPr>
                  <w:r>
                    <w:rPr>
                      <w:rFonts w:hint="eastAsia" w:ascii="仿宋" w:hAnsi="仿宋" w:eastAsia="仿宋" w:cs="仿宋"/>
                      <w:sz w:val="24"/>
                      <w:szCs w:val="24"/>
                    </w:rPr>
                    <w:t>序号</w:t>
                  </w:r>
                </w:p>
              </w:tc>
              <w:tc>
                <w:tcPr>
                  <w:tcW w:w="798" w:type="pct"/>
                  <w:vAlign w:val="center"/>
                </w:tcPr>
                <w:p w14:paraId="0D95B632">
                  <w:pPr>
                    <w:pStyle w:val="10"/>
                    <w:jc w:val="center"/>
                    <w:rPr>
                      <w:rFonts w:hint="eastAsia" w:ascii="仿宋" w:hAnsi="仿宋" w:eastAsia="仿宋" w:cs="仿宋"/>
                      <w:sz w:val="24"/>
                      <w:szCs w:val="24"/>
                    </w:rPr>
                  </w:pPr>
                  <w:r>
                    <w:rPr>
                      <w:rFonts w:hint="eastAsia" w:ascii="仿宋" w:hAnsi="仿宋" w:eastAsia="仿宋" w:cs="仿宋"/>
                      <w:sz w:val="24"/>
                      <w:szCs w:val="24"/>
                    </w:rPr>
                    <w:t>资格审查要求概况</w:t>
                  </w:r>
                </w:p>
              </w:tc>
              <w:tc>
                <w:tcPr>
                  <w:tcW w:w="3932" w:type="pct"/>
                  <w:vAlign w:val="center"/>
                </w:tcPr>
                <w:p w14:paraId="24FC3B44">
                  <w:pPr>
                    <w:pStyle w:val="10"/>
                    <w:jc w:val="center"/>
                    <w:rPr>
                      <w:rFonts w:hint="eastAsia" w:ascii="仿宋" w:hAnsi="仿宋" w:eastAsia="仿宋" w:cs="仿宋"/>
                      <w:sz w:val="24"/>
                      <w:szCs w:val="24"/>
                    </w:rPr>
                  </w:pPr>
                  <w:r>
                    <w:rPr>
                      <w:rFonts w:hint="eastAsia" w:ascii="仿宋" w:hAnsi="仿宋" w:eastAsia="仿宋" w:cs="仿宋"/>
                      <w:sz w:val="24"/>
                      <w:szCs w:val="24"/>
                    </w:rPr>
                    <w:t>评审点具体描述</w:t>
                  </w:r>
                </w:p>
              </w:tc>
            </w:tr>
            <w:tr w14:paraId="38CB9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6BD7E51B">
                  <w:pPr>
                    <w:pStyle w:val="10"/>
                    <w:jc w:val="center"/>
                    <w:rPr>
                      <w:rFonts w:hint="eastAsia" w:ascii="仿宋" w:hAnsi="仿宋" w:eastAsia="仿宋" w:cs="仿宋"/>
                      <w:sz w:val="24"/>
                      <w:szCs w:val="24"/>
                    </w:rPr>
                  </w:pPr>
                  <w:r>
                    <w:rPr>
                      <w:rFonts w:hint="eastAsia" w:ascii="仿宋" w:hAnsi="仿宋" w:eastAsia="仿宋" w:cs="仿宋"/>
                      <w:sz w:val="24"/>
                      <w:szCs w:val="24"/>
                    </w:rPr>
                    <w:t>1</w:t>
                  </w:r>
                </w:p>
              </w:tc>
              <w:tc>
                <w:tcPr>
                  <w:tcW w:w="798" w:type="pct"/>
                  <w:vAlign w:val="center"/>
                </w:tcPr>
                <w:p w14:paraId="4175E796">
                  <w:pPr>
                    <w:pStyle w:val="10"/>
                    <w:jc w:val="center"/>
                    <w:rPr>
                      <w:rFonts w:hint="eastAsia" w:ascii="仿宋" w:hAnsi="仿宋" w:eastAsia="仿宋" w:cs="仿宋"/>
                      <w:sz w:val="24"/>
                      <w:szCs w:val="24"/>
                    </w:rPr>
                  </w:pPr>
                  <w:r>
                    <w:rPr>
                      <w:rFonts w:hint="eastAsia" w:ascii="仿宋" w:hAnsi="仿宋" w:eastAsia="仿宋" w:cs="仿宋"/>
                      <w:sz w:val="24"/>
                      <w:szCs w:val="24"/>
                    </w:rPr>
                    <w:t>询价响应声明</w:t>
                  </w:r>
                </w:p>
              </w:tc>
              <w:tc>
                <w:tcPr>
                  <w:tcW w:w="3932" w:type="pct"/>
                  <w:vAlign w:val="center"/>
                </w:tcPr>
                <w:p w14:paraId="0A2957E4">
                  <w:pPr>
                    <w:pStyle w:val="10"/>
                    <w:jc w:val="both"/>
                    <w:rPr>
                      <w:rFonts w:hint="eastAsia" w:ascii="仿宋" w:hAnsi="仿宋" w:eastAsia="仿宋" w:cs="仿宋"/>
                      <w:sz w:val="24"/>
                      <w:szCs w:val="24"/>
                    </w:rPr>
                  </w:pPr>
                  <w:r>
                    <w:rPr>
                      <w:rFonts w:hint="eastAsia" w:ascii="仿宋" w:hAnsi="仿宋" w:eastAsia="仿宋" w:cs="仿宋"/>
                      <w:sz w:val="24"/>
                      <w:szCs w:val="24"/>
                    </w:rPr>
                    <w:t>详见声明函</w:t>
                  </w:r>
                </w:p>
              </w:tc>
            </w:tr>
            <w:tr w14:paraId="0DBD1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1BBC10AD">
                  <w:pPr>
                    <w:pStyle w:val="10"/>
                    <w:jc w:val="center"/>
                    <w:rPr>
                      <w:rFonts w:hint="eastAsia" w:ascii="仿宋" w:hAnsi="仿宋" w:eastAsia="仿宋" w:cs="仿宋"/>
                      <w:sz w:val="24"/>
                      <w:szCs w:val="24"/>
                    </w:rPr>
                  </w:pPr>
                  <w:r>
                    <w:rPr>
                      <w:rFonts w:hint="eastAsia" w:ascii="仿宋" w:hAnsi="仿宋" w:eastAsia="仿宋" w:cs="仿宋"/>
                      <w:sz w:val="24"/>
                      <w:szCs w:val="24"/>
                    </w:rPr>
                    <w:t>2</w:t>
                  </w:r>
                </w:p>
              </w:tc>
              <w:tc>
                <w:tcPr>
                  <w:tcW w:w="798" w:type="pct"/>
                  <w:vAlign w:val="center"/>
                </w:tcPr>
                <w:p w14:paraId="1123014A">
                  <w:pPr>
                    <w:pStyle w:val="10"/>
                    <w:jc w:val="center"/>
                    <w:rPr>
                      <w:rFonts w:hint="eastAsia" w:ascii="仿宋" w:hAnsi="仿宋" w:eastAsia="仿宋" w:cs="仿宋"/>
                      <w:sz w:val="24"/>
                      <w:szCs w:val="24"/>
                    </w:rPr>
                  </w:pPr>
                  <w:r>
                    <w:rPr>
                      <w:rFonts w:hint="eastAsia" w:ascii="仿宋" w:hAnsi="仿宋" w:eastAsia="仿宋" w:cs="仿宋"/>
                      <w:sz w:val="24"/>
                      <w:szCs w:val="24"/>
                    </w:rPr>
                    <w:t>单位负责人授权书</w:t>
                  </w:r>
                </w:p>
              </w:tc>
              <w:tc>
                <w:tcPr>
                  <w:tcW w:w="3932" w:type="pct"/>
                </w:tcPr>
                <w:p w14:paraId="0A8822A2">
                  <w:pPr>
                    <w:pStyle w:val="10"/>
                    <w:jc w:val="left"/>
                    <w:rPr>
                      <w:rFonts w:hint="eastAsia" w:ascii="仿宋" w:hAnsi="仿宋" w:eastAsia="仿宋" w:cs="仿宋"/>
                      <w:sz w:val="24"/>
                      <w:szCs w:val="24"/>
                    </w:rPr>
                  </w:pPr>
                  <w:r>
                    <w:rPr>
                      <w:rFonts w:hint="eastAsia" w:ascii="仿宋" w:hAnsi="仿宋" w:eastAsia="仿宋" w:cs="仿宋"/>
                      <w:sz w:val="24"/>
                      <w:szCs w:val="24"/>
                    </w:rPr>
                    <w:t>①供应商（自然人除外）：若供应商代表为单位授权的委托代理人，应提供本授权书；若供应商代表为单位负责人，应在此项下提交其身份证正反面复印件，可不提供本授权书。 ②供应商为自然人的，可不填写本授权书。</w:t>
                  </w:r>
                </w:p>
              </w:tc>
            </w:tr>
            <w:tr w14:paraId="3DEEC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24427D54">
                  <w:pPr>
                    <w:pStyle w:val="10"/>
                    <w:jc w:val="center"/>
                    <w:rPr>
                      <w:rFonts w:hint="eastAsia" w:ascii="仿宋" w:hAnsi="仿宋" w:eastAsia="仿宋" w:cs="仿宋"/>
                      <w:sz w:val="24"/>
                      <w:szCs w:val="24"/>
                    </w:rPr>
                  </w:pPr>
                  <w:r>
                    <w:rPr>
                      <w:rFonts w:hint="eastAsia" w:ascii="仿宋" w:hAnsi="仿宋" w:eastAsia="仿宋" w:cs="仿宋"/>
                      <w:sz w:val="24"/>
                      <w:szCs w:val="24"/>
                    </w:rPr>
                    <w:t>3</w:t>
                  </w:r>
                </w:p>
              </w:tc>
              <w:tc>
                <w:tcPr>
                  <w:tcW w:w="798" w:type="pct"/>
                  <w:vAlign w:val="center"/>
                </w:tcPr>
                <w:p w14:paraId="7EC04194">
                  <w:pPr>
                    <w:pStyle w:val="10"/>
                    <w:jc w:val="center"/>
                    <w:rPr>
                      <w:rFonts w:hint="eastAsia" w:ascii="仿宋" w:hAnsi="仿宋" w:eastAsia="仿宋" w:cs="仿宋"/>
                      <w:sz w:val="24"/>
                      <w:szCs w:val="24"/>
                    </w:rPr>
                  </w:pPr>
                  <w:r>
                    <w:rPr>
                      <w:rFonts w:hint="eastAsia" w:ascii="仿宋" w:hAnsi="仿宋" w:eastAsia="仿宋" w:cs="仿宋"/>
                      <w:sz w:val="24"/>
                      <w:szCs w:val="24"/>
                    </w:rPr>
                    <w:t>营业执照等证明文件</w:t>
                  </w:r>
                </w:p>
              </w:tc>
              <w:tc>
                <w:tcPr>
                  <w:tcW w:w="3932" w:type="pct"/>
                </w:tcPr>
                <w:p w14:paraId="58AD5189">
                  <w:pPr>
                    <w:pStyle w:val="10"/>
                    <w:jc w:val="left"/>
                    <w:rPr>
                      <w:rFonts w:hint="eastAsia" w:ascii="仿宋" w:hAnsi="仿宋" w:eastAsia="仿宋" w:cs="仿宋"/>
                      <w:sz w:val="24"/>
                      <w:szCs w:val="24"/>
                    </w:rPr>
                  </w:pPr>
                  <w:r>
                    <w:rPr>
                      <w:rFonts w:hint="eastAsia" w:ascii="仿宋" w:hAnsi="仿宋" w:eastAsia="仿宋" w:cs="仿宋"/>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01647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19458C37">
                  <w:pPr>
                    <w:pStyle w:val="10"/>
                    <w:jc w:val="center"/>
                    <w:rPr>
                      <w:rFonts w:hint="eastAsia" w:ascii="仿宋" w:hAnsi="仿宋" w:eastAsia="仿宋" w:cs="仿宋"/>
                      <w:sz w:val="24"/>
                      <w:szCs w:val="24"/>
                    </w:rPr>
                  </w:pPr>
                  <w:r>
                    <w:rPr>
                      <w:rFonts w:hint="eastAsia" w:ascii="仿宋" w:hAnsi="仿宋" w:eastAsia="仿宋" w:cs="仿宋"/>
                      <w:sz w:val="24"/>
                      <w:szCs w:val="24"/>
                    </w:rPr>
                    <w:t>4</w:t>
                  </w:r>
                </w:p>
              </w:tc>
              <w:tc>
                <w:tcPr>
                  <w:tcW w:w="798" w:type="pct"/>
                  <w:vAlign w:val="center"/>
                </w:tcPr>
                <w:p w14:paraId="352AFC89">
                  <w:pPr>
                    <w:pStyle w:val="10"/>
                    <w:jc w:val="center"/>
                    <w:rPr>
                      <w:rFonts w:hint="eastAsia" w:ascii="仿宋" w:hAnsi="仿宋" w:eastAsia="仿宋" w:cs="仿宋"/>
                      <w:sz w:val="24"/>
                      <w:szCs w:val="24"/>
                    </w:rPr>
                  </w:pPr>
                  <w:r>
                    <w:rPr>
                      <w:rFonts w:hint="eastAsia" w:ascii="仿宋" w:hAnsi="仿宋" w:eastAsia="仿宋" w:cs="仿宋"/>
                      <w:sz w:val="24"/>
                      <w:szCs w:val="24"/>
                    </w:rPr>
                    <w:t>提供财务状况报告（财务报告、或资信证明）</w:t>
                  </w:r>
                </w:p>
              </w:tc>
              <w:tc>
                <w:tcPr>
                  <w:tcW w:w="3932" w:type="pct"/>
                </w:tcPr>
                <w:p w14:paraId="29E294B3">
                  <w:pPr>
                    <w:pStyle w:val="10"/>
                    <w:jc w:val="left"/>
                    <w:rPr>
                      <w:rFonts w:hint="eastAsia" w:ascii="仿宋" w:hAnsi="仿宋" w:eastAsia="仿宋" w:cs="仿宋"/>
                      <w:sz w:val="24"/>
                      <w:szCs w:val="24"/>
                    </w:rPr>
                  </w:pPr>
                  <w:r>
                    <w:rPr>
                      <w:rFonts w:hint="eastAsia" w:ascii="仿宋" w:hAnsi="仿宋" w:eastAsia="仿宋" w:cs="仿宋"/>
                      <w:sz w:val="24"/>
                      <w:szCs w:val="24"/>
                    </w:rPr>
                    <w:t>①供应商提供的财务报告复印件（成立年限按照提交响应文件截止时间推算）应符合下列规定： a.成立年限满1年及以上的供应商，提供经审计的上一年度的年度财务报告。 b.成立年限满半年但不足1年的供应商，提供该半年度中任一季度的季度财务报告或该半年度的半年度财务报告。 c.无法按照以上a、b项规定提供财务报告复印件的供应商（包括但不限于：成立年限满1年及以上的供应商、成立年限满半年但不足1年的供应商、成立年限不足半年的供应商），应选择提供资信证明复印件。</w:t>
                  </w:r>
                </w:p>
              </w:tc>
            </w:tr>
            <w:tr w14:paraId="0823D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6641542C">
                  <w:pPr>
                    <w:pStyle w:val="10"/>
                    <w:jc w:val="center"/>
                    <w:rPr>
                      <w:rFonts w:hint="eastAsia" w:ascii="仿宋" w:hAnsi="仿宋" w:eastAsia="仿宋" w:cs="仿宋"/>
                      <w:sz w:val="24"/>
                      <w:szCs w:val="24"/>
                    </w:rPr>
                  </w:pPr>
                  <w:r>
                    <w:rPr>
                      <w:rFonts w:hint="eastAsia" w:ascii="仿宋" w:hAnsi="仿宋" w:eastAsia="仿宋" w:cs="仿宋"/>
                      <w:sz w:val="24"/>
                      <w:szCs w:val="24"/>
                    </w:rPr>
                    <w:t>5</w:t>
                  </w:r>
                </w:p>
              </w:tc>
              <w:tc>
                <w:tcPr>
                  <w:tcW w:w="798" w:type="pct"/>
                  <w:vAlign w:val="center"/>
                </w:tcPr>
                <w:p w14:paraId="00FACEBE">
                  <w:pPr>
                    <w:pStyle w:val="10"/>
                    <w:jc w:val="center"/>
                    <w:rPr>
                      <w:rFonts w:hint="eastAsia" w:ascii="仿宋" w:hAnsi="仿宋" w:eastAsia="仿宋" w:cs="仿宋"/>
                      <w:sz w:val="24"/>
                      <w:szCs w:val="24"/>
                    </w:rPr>
                  </w:pPr>
                  <w:r>
                    <w:rPr>
                      <w:rFonts w:hint="eastAsia" w:ascii="仿宋" w:hAnsi="仿宋" w:eastAsia="仿宋" w:cs="仿宋"/>
                      <w:sz w:val="24"/>
                      <w:szCs w:val="24"/>
                    </w:rPr>
                    <w:t>依法缴纳税收的证明材料</w:t>
                  </w:r>
                </w:p>
              </w:tc>
              <w:tc>
                <w:tcPr>
                  <w:tcW w:w="3932" w:type="pct"/>
                </w:tcPr>
                <w:p w14:paraId="5F4D7627">
                  <w:pPr>
                    <w:pStyle w:val="10"/>
                    <w:jc w:val="left"/>
                    <w:rPr>
                      <w:rFonts w:hint="eastAsia" w:ascii="仿宋" w:hAnsi="仿宋" w:eastAsia="仿宋" w:cs="仿宋"/>
                      <w:sz w:val="24"/>
                      <w:szCs w:val="24"/>
                    </w:rPr>
                  </w:pPr>
                  <w:r>
                    <w:rPr>
                      <w:rFonts w:hint="eastAsia" w:ascii="仿宋" w:hAnsi="仿宋" w:eastAsia="仿宋" w:cs="仿宋"/>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199B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2E722BA0">
                  <w:pPr>
                    <w:pStyle w:val="10"/>
                    <w:jc w:val="center"/>
                    <w:rPr>
                      <w:rFonts w:hint="eastAsia" w:ascii="仿宋" w:hAnsi="仿宋" w:eastAsia="仿宋" w:cs="仿宋"/>
                      <w:sz w:val="24"/>
                      <w:szCs w:val="24"/>
                    </w:rPr>
                  </w:pPr>
                  <w:r>
                    <w:rPr>
                      <w:rFonts w:hint="eastAsia" w:ascii="仿宋" w:hAnsi="仿宋" w:eastAsia="仿宋" w:cs="仿宋"/>
                      <w:sz w:val="24"/>
                      <w:szCs w:val="24"/>
                    </w:rPr>
                    <w:t>6</w:t>
                  </w:r>
                </w:p>
              </w:tc>
              <w:tc>
                <w:tcPr>
                  <w:tcW w:w="798" w:type="pct"/>
                  <w:vAlign w:val="center"/>
                </w:tcPr>
                <w:p w14:paraId="652D86BA">
                  <w:pPr>
                    <w:pStyle w:val="10"/>
                    <w:jc w:val="center"/>
                    <w:rPr>
                      <w:rFonts w:hint="eastAsia" w:ascii="仿宋" w:hAnsi="仿宋" w:eastAsia="仿宋" w:cs="仿宋"/>
                      <w:sz w:val="24"/>
                      <w:szCs w:val="24"/>
                    </w:rPr>
                  </w:pPr>
                  <w:r>
                    <w:rPr>
                      <w:rFonts w:hint="eastAsia" w:ascii="仿宋" w:hAnsi="仿宋" w:eastAsia="仿宋" w:cs="仿宋"/>
                      <w:sz w:val="24"/>
                      <w:szCs w:val="24"/>
                    </w:rPr>
                    <w:t>依法缴纳社会保障资金的证明材料</w:t>
                  </w:r>
                </w:p>
              </w:tc>
              <w:tc>
                <w:tcPr>
                  <w:tcW w:w="3932" w:type="pct"/>
                  <w:vAlign w:val="center"/>
                </w:tcPr>
                <w:p w14:paraId="60BE9053">
                  <w:pPr>
                    <w:pStyle w:val="10"/>
                    <w:jc w:val="left"/>
                    <w:rPr>
                      <w:rFonts w:hint="eastAsia" w:ascii="仿宋" w:hAnsi="仿宋" w:eastAsia="仿宋" w:cs="仿宋"/>
                      <w:sz w:val="24"/>
                      <w:szCs w:val="24"/>
                    </w:rPr>
                  </w:pPr>
                  <w:r>
                    <w:rPr>
                      <w:rFonts w:hint="eastAsia" w:ascii="仿宋" w:hAnsi="仿宋" w:eastAsia="仿宋" w:cs="仿宋"/>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767DF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6DF587B1">
                  <w:pPr>
                    <w:pStyle w:val="10"/>
                    <w:jc w:val="center"/>
                    <w:rPr>
                      <w:rFonts w:hint="eastAsia" w:ascii="仿宋" w:hAnsi="仿宋" w:eastAsia="仿宋" w:cs="仿宋"/>
                      <w:sz w:val="24"/>
                      <w:szCs w:val="24"/>
                    </w:rPr>
                  </w:pPr>
                  <w:r>
                    <w:rPr>
                      <w:rFonts w:hint="eastAsia" w:ascii="仿宋" w:hAnsi="仿宋" w:eastAsia="仿宋" w:cs="仿宋"/>
                      <w:sz w:val="24"/>
                      <w:szCs w:val="24"/>
                    </w:rPr>
                    <w:t>7</w:t>
                  </w:r>
                </w:p>
              </w:tc>
              <w:tc>
                <w:tcPr>
                  <w:tcW w:w="798" w:type="pct"/>
                  <w:vAlign w:val="center"/>
                </w:tcPr>
                <w:p w14:paraId="3C83BFBA">
                  <w:pPr>
                    <w:pStyle w:val="10"/>
                    <w:jc w:val="center"/>
                    <w:rPr>
                      <w:rFonts w:hint="eastAsia" w:ascii="仿宋" w:hAnsi="仿宋" w:eastAsia="仿宋" w:cs="仿宋"/>
                      <w:sz w:val="24"/>
                      <w:szCs w:val="24"/>
                    </w:rPr>
                  </w:pPr>
                  <w:r>
                    <w:rPr>
                      <w:rFonts w:hint="eastAsia" w:ascii="仿宋" w:hAnsi="仿宋" w:eastAsia="仿宋" w:cs="仿宋"/>
                      <w:sz w:val="24"/>
                      <w:szCs w:val="24"/>
                    </w:rPr>
                    <w:t>具备履行合同所必需设备和专业技术能力的声明函(若有)</w:t>
                  </w:r>
                </w:p>
              </w:tc>
              <w:tc>
                <w:tcPr>
                  <w:tcW w:w="3932" w:type="pct"/>
                  <w:vAlign w:val="center"/>
                </w:tcPr>
                <w:p w14:paraId="73B901BD">
                  <w:pPr>
                    <w:pStyle w:val="10"/>
                    <w:jc w:val="left"/>
                    <w:rPr>
                      <w:rFonts w:hint="eastAsia" w:ascii="仿宋" w:hAnsi="仿宋" w:eastAsia="仿宋" w:cs="仿宋"/>
                      <w:sz w:val="24"/>
                      <w:szCs w:val="24"/>
                    </w:rPr>
                  </w:pPr>
                  <w:r>
                    <w:rPr>
                      <w:rFonts w:hint="eastAsia" w:ascii="仿宋" w:hAnsi="仿宋" w:eastAsia="仿宋" w:cs="仿宋"/>
                      <w:sz w:val="24"/>
                      <w:szCs w:val="24"/>
                    </w:rPr>
                    <w:t>①采购文件未要求供应商提供“具备履行合同所必需的设备和专业技术能力专项证明材料”的，供应商应提供本声明函。 ②采购文件要求供应商提供“具备履行合同所必需的设备和专业技术能力专项证明材料”的，供应商可不提供本声明函。</w:t>
                  </w:r>
                </w:p>
              </w:tc>
            </w:tr>
            <w:tr w14:paraId="292AB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1D14A563">
                  <w:pPr>
                    <w:pStyle w:val="10"/>
                    <w:jc w:val="center"/>
                    <w:rPr>
                      <w:rFonts w:hint="eastAsia" w:ascii="仿宋" w:hAnsi="仿宋" w:eastAsia="仿宋" w:cs="仿宋"/>
                      <w:sz w:val="24"/>
                      <w:szCs w:val="24"/>
                    </w:rPr>
                  </w:pPr>
                  <w:r>
                    <w:rPr>
                      <w:rFonts w:hint="eastAsia" w:ascii="仿宋" w:hAnsi="仿宋" w:eastAsia="仿宋" w:cs="仿宋"/>
                      <w:sz w:val="24"/>
                      <w:szCs w:val="24"/>
                    </w:rPr>
                    <w:t>8</w:t>
                  </w:r>
                </w:p>
              </w:tc>
              <w:tc>
                <w:tcPr>
                  <w:tcW w:w="798" w:type="pct"/>
                  <w:vAlign w:val="center"/>
                </w:tcPr>
                <w:p w14:paraId="522A1263">
                  <w:pPr>
                    <w:pStyle w:val="10"/>
                    <w:jc w:val="center"/>
                    <w:rPr>
                      <w:rFonts w:hint="eastAsia" w:ascii="仿宋" w:hAnsi="仿宋" w:eastAsia="仿宋" w:cs="仿宋"/>
                      <w:sz w:val="24"/>
                      <w:szCs w:val="24"/>
                    </w:rPr>
                  </w:pPr>
                  <w:r>
                    <w:rPr>
                      <w:rFonts w:hint="eastAsia" w:ascii="仿宋" w:hAnsi="仿宋" w:eastAsia="仿宋" w:cs="仿宋"/>
                      <w:sz w:val="24"/>
                      <w:szCs w:val="24"/>
                    </w:rPr>
                    <w:t>参加采购活动前三年内在经营活动中没有重大违法记录的声明</w:t>
                  </w:r>
                </w:p>
              </w:tc>
              <w:tc>
                <w:tcPr>
                  <w:tcW w:w="3932" w:type="pct"/>
                  <w:vAlign w:val="center"/>
                </w:tcPr>
                <w:p w14:paraId="403C7797">
                  <w:pPr>
                    <w:pStyle w:val="10"/>
                    <w:jc w:val="left"/>
                    <w:rPr>
                      <w:rFonts w:hint="eastAsia" w:ascii="仿宋" w:hAnsi="仿宋" w:eastAsia="仿宋" w:cs="仿宋"/>
                      <w:sz w:val="24"/>
                      <w:szCs w:val="24"/>
                    </w:rPr>
                  </w:pPr>
                  <w:r>
                    <w:rPr>
                      <w:rFonts w:hint="eastAsia" w:ascii="仿宋" w:hAnsi="仿宋" w:eastAsia="仿宋" w:cs="仿宋"/>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ECE0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15ABE8FE">
                  <w:pPr>
                    <w:pStyle w:val="10"/>
                    <w:jc w:val="center"/>
                    <w:rPr>
                      <w:rFonts w:hint="eastAsia" w:ascii="仿宋" w:hAnsi="仿宋" w:eastAsia="仿宋" w:cs="仿宋"/>
                      <w:sz w:val="24"/>
                      <w:szCs w:val="24"/>
                    </w:rPr>
                  </w:pPr>
                  <w:r>
                    <w:rPr>
                      <w:rFonts w:hint="eastAsia" w:ascii="仿宋" w:hAnsi="仿宋" w:eastAsia="仿宋" w:cs="仿宋"/>
                      <w:sz w:val="24"/>
                      <w:szCs w:val="24"/>
                    </w:rPr>
                    <w:t>9</w:t>
                  </w:r>
                </w:p>
              </w:tc>
              <w:tc>
                <w:tcPr>
                  <w:tcW w:w="798" w:type="pct"/>
                  <w:vAlign w:val="center"/>
                </w:tcPr>
                <w:p w14:paraId="257F3DE7">
                  <w:pPr>
                    <w:pStyle w:val="10"/>
                    <w:jc w:val="center"/>
                    <w:rPr>
                      <w:rFonts w:hint="eastAsia" w:ascii="仿宋" w:hAnsi="仿宋" w:eastAsia="仿宋" w:cs="仿宋"/>
                      <w:sz w:val="24"/>
                      <w:szCs w:val="24"/>
                    </w:rPr>
                  </w:pPr>
                  <w:r>
                    <w:rPr>
                      <w:rFonts w:hint="eastAsia" w:ascii="仿宋" w:hAnsi="仿宋" w:eastAsia="仿宋" w:cs="仿宋"/>
                      <w:sz w:val="24"/>
                      <w:szCs w:val="24"/>
                    </w:rPr>
                    <w:t>信用信息查询结果</w:t>
                  </w:r>
                </w:p>
              </w:tc>
              <w:tc>
                <w:tcPr>
                  <w:tcW w:w="3932" w:type="pct"/>
                  <w:vAlign w:val="center"/>
                </w:tcPr>
                <w:p w14:paraId="3304495C">
                  <w:pPr>
                    <w:pStyle w:val="10"/>
                    <w:jc w:val="left"/>
                    <w:rPr>
                      <w:rFonts w:hint="eastAsia" w:ascii="仿宋" w:hAnsi="仿宋" w:eastAsia="仿宋" w:cs="仿宋"/>
                      <w:sz w:val="24"/>
                      <w:szCs w:val="24"/>
                    </w:rPr>
                  </w:pPr>
                  <w:r>
                    <w:rPr>
                      <w:rFonts w:hint="eastAsia" w:ascii="仿宋" w:hAnsi="仿宋" w:eastAsia="仿宋" w:cs="仿宋"/>
                      <w:sz w:val="24"/>
                      <w:szCs w:val="24"/>
                    </w:rPr>
                    <w:t>①信用记录查询的截止时点：信用记录查询的截止时点为本项目提交响应文件截止时间当日。 ②信用记录查询渠道：信用中国（www.creditchina.gov.cn）、中国政府采购网（www.ccgp.gov.cn）。 ③信用记录的查询：由询价小组通过上述网站查询并打印供应商的信用记录。 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20F0B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0129EB72">
                  <w:pPr>
                    <w:pStyle w:val="10"/>
                    <w:jc w:val="center"/>
                    <w:rPr>
                      <w:rFonts w:hint="eastAsia" w:ascii="仿宋" w:hAnsi="仿宋" w:eastAsia="仿宋" w:cs="仿宋"/>
                      <w:sz w:val="24"/>
                      <w:szCs w:val="24"/>
                    </w:rPr>
                  </w:pPr>
                  <w:r>
                    <w:rPr>
                      <w:rFonts w:hint="eastAsia" w:ascii="仿宋" w:hAnsi="仿宋" w:eastAsia="仿宋" w:cs="仿宋"/>
                      <w:sz w:val="24"/>
                      <w:szCs w:val="24"/>
                    </w:rPr>
                    <w:t>10</w:t>
                  </w:r>
                </w:p>
              </w:tc>
              <w:tc>
                <w:tcPr>
                  <w:tcW w:w="798" w:type="pct"/>
                  <w:vAlign w:val="center"/>
                </w:tcPr>
                <w:p w14:paraId="67CAE49A">
                  <w:pPr>
                    <w:pStyle w:val="10"/>
                    <w:jc w:val="center"/>
                    <w:rPr>
                      <w:rFonts w:hint="eastAsia" w:ascii="仿宋" w:hAnsi="仿宋" w:eastAsia="仿宋" w:cs="仿宋"/>
                      <w:sz w:val="24"/>
                      <w:szCs w:val="24"/>
                    </w:rPr>
                  </w:pPr>
                  <w:r>
                    <w:rPr>
                      <w:rFonts w:hint="eastAsia" w:ascii="仿宋" w:hAnsi="仿宋" w:eastAsia="仿宋" w:cs="仿宋"/>
                      <w:sz w:val="24"/>
                      <w:szCs w:val="24"/>
                    </w:rPr>
                    <w:t>中小企业声明函（以资格条件落实中小企业扶持政策时适用 ）</w:t>
                  </w:r>
                </w:p>
              </w:tc>
              <w:tc>
                <w:tcPr>
                  <w:tcW w:w="3932" w:type="pct"/>
                  <w:vAlign w:val="center"/>
                </w:tcPr>
                <w:p w14:paraId="248C39A7">
                  <w:pPr>
                    <w:pStyle w:val="10"/>
                    <w:jc w:val="left"/>
                    <w:rPr>
                      <w:rFonts w:hint="eastAsia" w:ascii="仿宋" w:hAnsi="仿宋" w:eastAsia="仿宋" w:cs="仿宋"/>
                      <w:sz w:val="24"/>
                      <w:szCs w:val="24"/>
                    </w:rPr>
                  </w:pPr>
                  <w:r>
                    <w:rPr>
                      <w:rFonts w:hint="eastAsia" w:ascii="仿宋" w:hAnsi="仿宋" w:eastAsia="仿宋" w:cs="仿宋"/>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②供应商为监狱企业的，可不填写本声明函，根据其提供的由省级以上监狱管理局、戒毒管理局（含新疆生产建设兵团）出具的属于监狱企业的证明文件进行认定，监狱企业视同小型、微型企业。 ③供应商为残疾人福利性单位的，可不填写本声明函，根据其提供的《残疾人福利性单位声明函》进行认定，残疾人福利性单位视同小型、微型企业。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6D1D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 w:type="pct"/>
                  <w:vAlign w:val="center"/>
                </w:tcPr>
                <w:p w14:paraId="05B5B5D2">
                  <w:pPr>
                    <w:pStyle w:val="10"/>
                    <w:jc w:val="center"/>
                    <w:rPr>
                      <w:rFonts w:hint="eastAsia" w:ascii="仿宋" w:hAnsi="仿宋" w:eastAsia="仿宋" w:cs="仿宋"/>
                      <w:sz w:val="24"/>
                      <w:szCs w:val="24"/>
                    </w:rPr>
                  </w:pPr>
                  <w:r>
                    <w:rPr>
                      <w:rFonts w:hint="eastAsia" w:ascii="仿宋" w:hAnsi="仿宋" w:eastAsia="仿宋" w:cs="仿宋"/>
                      <w:sz w:val="24"/>
                      <w:szCs w:val="24"/>
                    </w:rPr>
                    <w:t>11</w:t>
                  </w:r>
                </w:p>
              </w:tc>
              <w:tc>
                <w:tcPr>
                  <w:tcW w:w="798" w:type="pct"/>
                  <w:vAlign w:val="center"/>
                </w:tcPr>
                <w:p w14:paraId="2FC7896B">
                  <w:pPr>
                    <w:pStyle w:val="10"/>
                    <w:jc w:val="center"/>
                    <w:rPr>
                      <w:rFonts w:hint="eastAsia" w:ascii="仿宋" w:hAnsi="仿宋" w:eastAsia="仿宋" w:cs="仿宋"/>
                      <w:sz w:val="24"/>
                      <w:szCs w:val="24"/>
                    </w:rPr>
                  </w:pPr>
                  <w:r>
                    <w:rPr>
                      <w:rFonts w:hint="eastAsia" w:ascii="仿宋" w:hAnsi="仿宋" w:eastAsia="仿宋" w:cs="仿宋"/>
                      <w:sz w:val="24"/>
                      <w:szCs w:val="24"/>
                    </w:rPr>
                    <w:t>联合体协议（若有）</w:t>
                  </w:r>
                </w:p>
              </w:tc>
              <w:tc>
                <w:tcPr>
                  <w:tcW w:w="3932" w:type="pct"/>
                  <w:vAlign w:val="center"/>
                </w:tcPr>
                <w:p w14:paraId="03F2574A">
                  <w:pPr>
                    <w:pStyle w:val="10"/>
                    <w:jc w:val="left"/>
                    <w:rPr>
                      <w:rFonts w:hint="eastAsia" w:ascii="仿宋" w:hAnsi="仿宋" w:eastAsia="仿宋" w:cs="仿宋"/>
                      <w:sz w:val="24"/>
                      <w:szCs w:val="24"/>
                    </w:rPr>
                  </w:pPr>
                  <w:r>
                    <w:rPr>
                      <w:rFonts w:hint="eastAsia" w:ascii="仿宋" w:hAnsi="仿宋" w:eastAsia="仿宋" w:cs="仿宋"/>
                      <w:sz w:val="24"/>
                      <w:szCs w:val="24"/>
                    </w:rPr>
                    <w:t>①采购文件接受联合体报价且供应商为联合体的，供应商应提供本协议；否则无须提供。 ②本协议由委托代理人签字或盖章的，应按照采购文件第六章载明的格式提供“单位负责人授权书”。</w:t>
                  </w:r>
                </w:p>
              </w:tc>
            </w:tr>
          </w:tbl>
          <w:p w14:paraId="508FBAB1">
            <w:pPr>
              <w:pStyle w:val="10"/>
              <w:jc w:val="left"/>
              <w:rPr>
                <w:rFonts w:hint="eastAsia" w:ascii="仿宋" w:hAnsi="仿宋" w:eastAsia="仿宋" w:cs="仿宋"/>
                <w:sz w:val="24"/>
                <w:szCs w:val="24"/>
              </w:rPr>
            </w:pPr>
            <w:r>
              <w:rPr>
                <w:rFonts w:hint="eastAsia" w:ascii="仿宋" w:hAnsi="仿宋" w:eastAsia="仿宋" w:cs="仿宋"/>
                <w:sz w:val="24"/>
                <w:szCs w:val="24"/>
              </w:rPr>
              <w:t>（2）特定条件：</w:t>
            </w:r>
          </w:p>
          <w:p w14:paraId="28DF6BBA">
            <w:pPr>
              <w:pStyle w:val="10"/>
              <w:jc w:val="left"/>
              <w:rPr>
                <w:rFonts w:hint="eastAsia" w:ascii="仿宋" w:hAnsi="仿宋" w:eastAsia="仿宋" w:cs="仿宋"/>
                <w:sz w:val="24"/>
                <w:szCs w:val="24"/>
              </w:rPr>
            </w:pPr>
            <w:r>
              <w:rPr>
                <w:rFonts w:hint="eastAsia" w:ascii="仿宋" w:hAnsi="仿宋" w:eastAsia="仿宋" w:cs="仿宋"/>
                <w:sz w:val="24"/>
                <w:szCs w:val="24"/>
              </w:rPr>
              <w:t>采购包1：</w:t>
            </w:r>
          </w:p>
          <w:tbl>
            <w:tblPr>
              <w:tblStyle w:val="7"/>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4"/>
              <w:gridCol w:w="7582"/>
            </w:tblGrid>
            <w:tr w14:paraId="5410F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vAlign w:val="center"/>
                </w:tcPr>
                <w:p w14:paraId="445890B2">
                  <w:pPr>
                    <w:pStyle w:val="10"/>
                    <w:jc w:val="center"/>
                    <w:rPr>
                      <w:rFonts w:hint="eastAsia" w:ascii="仿宋" w:hAnsi="仿宋" w:eastAsia="仿宋" w:cs="仿宋"/>
                      <w:sz w:val="24"/>
                      <w:szCs w:val="24"/>
                    </w:rPr>
                  </w:pPr>
                  <w:r>
                    <w:rPr>
                      <w:rFonts w:hint="eastAsia" w:ascii="仿宋" w:hAnsi="仿宋" w:eastAsia="仿宋" w:cs="仿宋"/>
                      <w:sz w:val="24"/>
                      <w:szCs w:val="24"/>
                    </w:rPr>
                    <w:t>资格审查要求概况</w:t>
                  </w:r>
                </w:p>
              </w:tc>
              <w:tc>
                <w:tcPr>
                  <w:tcW w:w="4493" w:type="pct"/>
                  <w:vAlign w:val="center"/>
                </w:tcPr>
                <w:p w14:paraId="2F630526">
                  <w:pPr>
                    <w:pStyle w:val="10"/>
                    <w:jc w:val="center"/>
                    <w:rPr>
                      <w:rFonts w:hint="eastAsia" w:ascii="仿宋" w:hAnsi="仿宋" w:eastAsia="仿宋" w:cs="仿宋"/>
                      <w:sz w:val="24"/>
                      <w:szCs w:val="24"/>
                    </w:rPr>
                  </w:pPr>
                  <w:r>
                    <w:rPr>
                      <w:rFonts w:hint="eastAsia" w:ascii="仿宋" w:hAnsi="仿宋" w:eastAsia="仿宋" w:cs="仿宋"/>
                      <w:sz w:val="24"/>
                      <w:szCs w:val="24"/>
                    </w:rPr>
                    <w:t>评审点具体描述</w:t>
                  </w:r>
                </w:p>
              </w:tc>
            </w:tr>
            <w:tr w14:paraId="7FF72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vAlign w:val="center"/>
                </w:tcPr>
                <w:p w14:paraId="5CDEDA5E">
                  <w:pPr>
                    <w:pStyle w:val="10"/>
                    <w:jc w:val="center"/>
                    <w:rPr>
                      <w:rFonts w:hint="eastAsia" w:ascii="仿宋" w:hAnsi="仿宋" w:eastAsia="仿宋" w:cs="仿宋"/>
                      <w:sz w:val="24"/>
                      <w:szCs w:val="24"/>
                    </w:rPr>
                  </w:pPr>
                  <w:r>
                    <w:rPr>
                      <w:rFonts w:hint="eastAsia" w:ascii="仿宋" w:hAnsi="仿宋" w:eastAsia="仿宋" w:cs="仿宋"/>
                      <w:sz w:val="24"/>
                      <w:szCs w:val="24"/>
                    </w:rPr>
                    <w:t>资格承诺函</w:t>
                  </w:r>
                </w:p>
              </w:tc>
              <w:tc>
                <w:tcPr>
                  <w:tcW w:w="4493" w:type="pct"/>
                </w:tcPr>
                <w:p w14:paraId="5089B6A6">
                  <w:pPr>
                    <w:pStyle w:val="10"/>
                    <w:jc w:val="left"/>
                    <w:rPr>
                      <w:rFonts w:hint="eastAsia" w:ascii="仿宋" w:hAnsi="仿宋" w:eastAsia="仿宋" w:cs="仿宋"/>
                      <w:sz w:val="24"/>
                      <w:szCs w:val="24"/>
                    </w:rPr>
                  </w:pPr>
                  <w:r>
                    <w:rPr>
                      <w:rFonts w:hint="eastAsia" w:ascii="仿宋" w:hAnsi="仿宋" w:eastAsia="仿宋" w:cs="仿宋"/>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1DCA8BA">
            <w:pPr>
              <w:pStyle w:val="10"/>
              <w:jc w:val="left"/>
              <w:rPr>
                <w:rFonts w:hint="eastAsia" w:ascii="仿宋" w:hAnsi="仿宋" w:eastAsia="仿宋" w:cs="仿宋"/>
                <w:sz w:val="24"/>
                <w:szCs w:val="24"/>
              </w:rPr>
            </w:pPr>
            <w:r>
              <w:rPr>
                <w:rFonts w:hint="eastAsia" w:ascii="仿宋" w:hAnsi="仿宋" w:eastAsia="仿宋" w:cs="仿宋"/>
                <w:sz w:val="24"/>
                <w:szCs w:val="24"/>
              </w:rPr>
              <w:t>是否接受联合体报价：详见第一章询价邀请/询价邀请书</w:t>
            </w:r>
          </w:p>
          <w:p w14:paraId="34B49B9C">
            <w:pPr>
              <w:pStyle w:val="10"/>
              <w:jc w:val="left"/>
              <w:rPr>
                <w:rFonts w:hint="eastAsia" w:ascii="仿宋" w:hAnsi="仿宋" w:eastAsia="仿宋" w:cs="仿宋"/>
                <w:sz w:val="24"/>
                <w:szCs w:val="24"/>
              </w:rPr>
            </w:pPr>
            <w:r>
              <w:rPr>
                <w:rFonts w:hint="eastAsia" w:ascii="仿宋" w:hAnsi="仿宋" w:eastAsia="仿宋" w:cs="仿宋"/>
                <w:sz w:val="24"/>
                <w:szCs w:val="24"/>
              </w:rPr>
              <w:t>(3) 询价保证金</w:t>
            </w:r>
          </w:p>
          <w:p w14:paraId="180637F5">
            <w:pPr>
              <w:pStyle w:val="10"/>
              <w:jc w:val="left"/>
              <w:rPr>
                <w:rFonts w:hint="eastAsia" w:ascii="仿宋" w:hAnsi="仿宋" w:eastAsia="仿宋" w:cs="仿宋"/>
                <w:sz w:val="24"/>
                <w:szCs w:val="24"/>
              </w:rPr>
            </w:pPr>
            <w:r>
              <w:rPr>
                <w:rFonts w:hint="eastAsia" w:ascii="仿宋" w:hAnsi="仿宋" w:eastAsia="仿宋" w:cs="仿宋"/>
                <w:sz w:val="24"/>
                <w:szCs w:val="24"/>
              </w:rPr>
              <w:t>备注说明：</w:t>
            </w:r>
          </w:p>
          <w:p w14:paraId="31FAAD09">
            <w:pPr>
              <w:pStyle w:val="10"/>
              <w:jc w:val="left"/>
              <w:rPr>
                <w:rFonts w:hint="eastAsia" w:ascii="仿宋" w:hAnsi="仿宋" w:eastAsia="仿宋" w:cs="仿宋"/>
                <w:sz w:val="24"/>
                <w:szCs w:val="24"/>
              </w:rPr>
            </w:pPr>
            <w:r>
              <w:rPr>
                <w:rFonts w:hint="eastAsia" w:ascii="仿宋" w:hAnsi="仿宋" w:eastAsia="仿宋" w:cs="仿宋"/>
                <w:sz w:val="24"/>
                <w:szCs w:val="24"/>
              </w:rPr>
              <w:t>①供应商应根据自身实际情况提供上述资格要求的证明材料，格式可参考询价通知书第六章提供。</w:t>
            </w:r>
          </w:p>
          <w:p w14:paraId="710B4B6D">
            <w:pPr>
              <w:pStyle w:val="10"/>
              <w:jc w:val="left"/>
              <w:rPr>
                <w:rFonts w:hint="eastAsia" w:ascii="仿宋" w:hAnsi="仿宋" w:eastAsia="仿宋" w:cs="仿宋"/>
                <w:sz w:val="24"/>
                <w:szCs w:val="24"/>
              </w:rPr>
            </w:pPr>
            <w:r>
              <w:rPr>
                <w:rFonts w:hint="eastAsia" w:ascii="仿宋" w:hAnsi="仿宋" w:eastAsia="仿宋" w:cs="仿宋"/>
                <w:sz w:val="24"/>
                <w:szCs w:val="24"/>
              </w:rPr>
              <w:t>②供应商提供的相应证明材料复印件均应符合：内容完整、清晰、整洁、并由供应商加盖其单位公章。</w:t>
            </w:r>
          </w:p>
          <w:p w14:paraId="63AD91AF">
            <w:pPr>
              <w:pStyle w:val="10"/>
              <w:jc w:val="left"/>
              <w:rPr>
                <w:rFonts w:hint="eastAsia" w:ascii="仿宋" w:hAnsi="仿宋" w:eastAsia="仿宋" w:cs="仿宋"/>
                <w:sz w:val="24"/>
                <w:szCs w:val="24"/>
              </w:rPr>
            </w:pPr>
            <w:r>
              <w:rPr>
                <w:rFonts w:hint="eastAsia" w:ascii="仿宋" w:hAnsi="仿宋" w:eastAsia="仿宋" w:cs="仿宋"/>
                <w:sz w:val="24"/>
                <w:szCs w:val="24"/>
              </w:rPr>
              <w:t>③根据询价须知前附表1第1项号的“（2）特定资格条件”要求，允许供应商采用资格承诺制的并提供符合要求的资格承诺函，视为满足询价通知书的资格要求。</w:t>
            </w:r>
          </w:p>
        </w:tc>
      </w:tr>
      <w:tr w14:paraId="2DD2F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0A27A5B1">
            <w:pPr>
              <w:pStyle w:val="10"/>
              <w:jc w:val="left"/>
              <w:rPr>
                <w:rFonts w:hint="eastAsia" w:ascii="仿宋" w:hAnsi="仿宋" w:eastAsia="仿宋" w:cs="仿宋"/>
                <w:sz w:val="24"/>
                <w:szCs w:val="24"/>
              </w:rPr>
            </w:pPr>
            <w:r>
              <w:rPr>
                <w:rFonts w:hint="eastAsia" w:ascii="仿宋" w:hAnsi="仿宋" w:eastAsia="仿宋" w:cs="仿宋"/>
                <w:sz w:val="24"/>
                <w:szCs w:val="24"/>
              </w:rPr>
              <w:t>2</w:t>
            </w:r>
          </w:p>
        </w:tc>
        <w:tc>
          <w:tcPr>
            <w:tcW w:w="426" w:type="pct"/>
          </w:tcPr>
          <w:p w14:paraId="3D127771">
            <w:pPr>
              <w:pStyle w:val="10"/>
              <w:jc w:val="left"/>
              <w:rPr>
                <w:rFonts w:hint="eastAsia" w:ascii="仿宋" w:hAnsi="仿宋" w:eastAsia="仿宋" w:cs="仿宋"/>
                <w:sz w:val="24"/>
                <w:szCs w:val="24"/>
              </w:rPr>
            </w:pPr>
            <w:r>
              <w:rPr>
                <w:rFonts w:hint="eastAsia" w:ascii="仿宋" w:hAnsi="仿宋" w:eastAsia="仿宋" w:cs="仿宋"/>
                <w:sz w:val="24"/>
                <w:szCs w:val="24"/>
              </w:rPr>
              <w:t>9.4</w:t>
            </w:r>
          </w:p>
        </w:tc>
        <w:tc>
          <w:tcPr>
            <w:tcW w:w="4345" w:type="pct"/>
          </w:tcPr>
          <w:p w14:paraId="097F383D">
            <w:pPr>
              <w:pStyle w:val="10"/>
              <w:jc w:val="left"/>
              <w:rPr>
                <w:rFonts w:hint="eastAsia" w:ascii="仿宋" w:hAnsi="仿宋" w:eastAsia="仿宋" w:cs="仿宋"/>
                <w:sz w:val="24"/>
                <w:szCs w:val="24"/>
              </w:rPr>
            </w:pPr>
            <w:r>
              <w:rPr>
                <w:rFonts w:hint="eastAsia" w:ascii="仿宋" w:hAnsi="仿宋" w:eastAsia="仿宋" w:cs="仿宋"/>
                <w:sz w:val="24"/>
                <w:szCs w:val="24"/>
              </w:rPr>
              <w:t>响应文件的份数：</w:t>
            </w:r>
          </w:p>
          <w:p w14:paraId="0882DAC8">
            <w:pPr>
              <w:pStyle w:val="10"/>
              <w:jc w:val="left"/>
              <w:rPr>
                <w:rFonts w:hint="eastAsia" w:ascii="仿宋" w:hAnsi="仿宋" w:eastAsia="仿宋" w:cs="仿宋"/>
                <w:sz w:val="24"/>
                <w:szCs w:val="24"/>
              </w:rPr>
            </w:pPr>
            <w:r>
              <w:rPr>
                <w:rFonts w:hint="eastAsia" w:ascii="仿宋" w:hAnsi="仿宋" w:eastAsia="仿宋" w:cs="仿宋"/>
                <w:sz w:val="24"/>
                <w:szCs w:val="24"/>
              </w:rPr>
              <w:t xml:space="preserve"> （1）纸质响应文件：</w:t>
            </w:r>
          </w:p>
          <w:p w14:paraId="2C44C359">
            <w:pPr>
              <w:pStyle w:val="10"/>
              <w:jc w:val="left"/>
              <w:rPr>
                <w:rFonts w:hint="eastAsia" w:ascii="仿宋" w:hAnsi="仿宋" w:eastAsia="仿宋" w:cs="仿宋"/>
                <w:sz w:val="24"/>
                <w:szCs w:val="24"/>
              </w:rPr>
            </w:pPr>
            <w:r>
              <w:rPr>
                <w:rFonts w:hint="eastAsia" w:ascii="仿宋" w:hAnsi="仿宋" w:eastAsia="仿宋" w:cs="仿宋"/>
                <w:sz w:val="24"/>
                <w:szCs w:val="24"/>
              </w:rPr>
              <w:t xml:space="preserve"> ①正本 0 份 、副本 0 份。</w:t>
            </w:r>
          </w:p>
          <w:p w14:paraId="3572E2D7">
            <w:pPr>
              <w:pStyle w:val="10"/>
              <w:jc w:val="left"/>
              <w:rPr>
                <w:rFonts w:hint="eastAsia" w:ascii="仿宋" w:hAnsi="仿宋" w:eastAsia="仿宋" w:cs="仿宋"/>
                <w:sz w:val="24"/>
                <w:szCs w:val="24"/>
              </w:rPr>
            </w:pPr>
            <w:r>
              <w:rPr>
                <w:rFonts w:hint="eastAsia" w:ascii="仿宋" w:hAnsi="仿宋" w:eastAsia="仿宋" w:cs="仿宋"/>
                <w:sz w:val="24"/>
                <w:szCs w:val="24"/>
              </w:rPr>
              <w:t xml:space="preserve"> ②可读介质（光盘或U盘） 0 份：将上传至福建省政府采购网上公开信息系统的电子响应文件在该可读介质中另存 0 份。</w:t>
            </w:r>
          </w:p>
          <w:p w14:paraId="47F741DF">
            <w:pPr>
              <w:pStyle w:val="10"/>
              <w:jc w:val="left"/>
              <w:rPr>
                <w:rFonts w:hint="eastAsia" w:ascii="仿宋" w:hAnsi="仿宋" w:eastAsia="仿宋" w:cs="仿宋"/>
                <w:sz w:val="24"/>
                <w:szCs w:val="24"/>
              </w:rPr>
            </w:pPr>
            <w:r>
              <w:rPr>
                <w:rFonts w:hint="eastAsia" w:ascii="仿宋" w:hAnsi="仿宋" w:eastAsia="仿宋" w:cs="仿宋"/>
                <w:sz w:val="24"/>
                <w:szCs w:val="24"/>
              </w:rPr>
              <w:t xml:space="preserve"> （2）电子响应文件：详见表2《关于电子询价活动的专门规定》。</w:t>
            </w:r>
          </w:p>
        </w:tc>
      </w:tr>
      <w:tr w14:paraId="4C827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6C513A35">
            <w:pPr>
              <w:pStyle w:val="10"/>
              <w:jc w:val="left"/>
              <w:rPr>
                <w:rFonts w:hint="eastAsia" w:ascii="仿宋" w:hAnsi="仿宋" w:eastAsia="仿宋" w:cs="仿宋"/>
                <w:sz w:val="24"/>
                <w:szCs w:val="24"/>
              </w:rPr>
            </w:pPr>
            <w:r>
              <w:rPr>
                <w:rFonts w:hint="eastAsia" w:ascii="仿宋" w:hAnsi="仿宋" w:eastAsia="仿宋" w:cs="仿宋"/>
                <w:sz w:val="24"/>
                <w:szCs w:val="24"/>
              </w:rPr>
              <w:t>3</w:t>
            </w:r>
          </w:p>
        </w:tc>
        <w:tc>
          <w:tcPr>
            <w:tcW w:w="426" w:type="pct"/>
          </w:tcPr>
          <w:p w14:paraId="1D02D6D7">
            <w:pPr>
              <w:pStyle w:val="10"/>
              <w:jc w:val="left"/>
              <w:rPr>
                <w:rFonts w:hint="eastAsia" w:ascii="仿宋" w:hAnsi="仿宋" w:eastAsia="仿宋" w:cs="仿宋"/>
                <w:sz w:val="24"/>
                <w:szCs w:val="24"/>
              </w:rPr>
            </w:pPr>
            <w:r>
              <w:rPr>
                <w:rFonts w:hint="eastAsia" w:ascii="仿宋" w:hAnsi="仿宋" w:eastAsia="仿宋" w:cs="仿宋"/>
                <w:sz w:val="24"/>
                <w:szCs w:val="24"/>
              </w:rPr>
              <w:t>9.5-（2）-③</w:t>
            </w:r>
          </w:p>
        </w:tc>
        <w:tc>
          <w:tcPr>
            <w:tcW w:w="4345" w:type="pct"/>
          </w:tcPr>
          <w:p w14:paraId="584024D5">
            <w:pPr>
              <w:pStyle w:val="10"/>
              <w:jc w:val="left"/>
              <w:rPr>
                <w:rFonts w:hint="eastAsia" w:ascii="仿宋" w:hAnsi="仿宋" w:eastAsia="仿宋" w:cs="仿宋"/>
                <w:sz w:val="24"/>
                <w:szCs w:val="24"/>
              </w:rPr>
            </w:pPr>
            <w:r>
              <w:rPr>
                <w:rFonts w:hint="eastAsia" w:ascii="仿宋" w:hAnsi="仿宋" w:eastAsia="仿宋" w:cs="仿宋"/>
                <w:sz w:val="24"/>
                <w:szCs w:val="24"/>
              </w:rPr>
              <w:t>允许散装或活页装订的内容或材料：</w:t>
            </w:r>
          </w:p>
          <w:p w14:paraId="2D38A148">
            <w:pPr>
              <w:pStyle w:val="10"/>
              <w:jc w:val="left"/>
              <w:rPr>
                <w:rFonts w:hint="eastAsia" w:ascii="仿宋" w:hAnsi="仿宋" w:eastAsia="仿宋" w:cs="仿宋"/>
                <w:sz w:val="24"/>
                <w:szCs w:val="24"/>
              </w:rPr>
            </w:pPr>
            <w:r>
              <w:rPr>
                <w:rFonts w:hint="eastAsia" w:ascii="仿宋" w:hAnsi="仿宋" w:eastAsia="仿宋" w:cs="仿宋"/>
                <w:sz w:val="24"/>
                <w:szCs w:val="24"/>
              </w:rPr>
              <w:t xml:space="preserve"> （1）响应文件的补充、修改或撤回；</w:t>
            </w:r>
          </w:p>
          <w:p w14:paraId="2A7D5E29">
            <w:pPr>
              <w:pStyle w:val="10"/>
              <w:jc w:val="left"/>
              <w:rPr>
                <w:rFonts w:hint="eastAsia" w:ascii="仿宋" w:hAnsi="仿宋" w:eastAsia="仿宋" w:cs="仿宋"/>
                <w:sz w:val="24"/>
                <w:szCs w:val="24"/>
              </w:rPr>
            </w:pPr>
            <w:r>
              <w:rPr>
                <w:rFonts w:hint="eastAsia" w:ascii="仿宋" w:hAnsi="仿宋" w:eastAsia="仿宋" w:cs="仿宋"/>
                <w:sz w:val="24"/>
                <w:szCs w:val="24"/>
              </w:rPr>
              <w:t xml:space="preserve"> （2）其他内容或材料：</w:t>
            </w:r>
          </w:p>
          <w:p w14:paraId="587029D3">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r w14:paraId="119E6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66BB1A4B">
            <w:pPr>
              <w:pStyle w:val="10"/>
              <w:jc w:val="left"/>
              <w:rPr>
                <w:rFonts w:hint="eastAsia" w:ascii="仿宋" w:hAnsi="仿宋" w:eastAsia="仿宋" w:cs="仿宋"/>
                <w:sz w:val="24"/>
                <w:szCs w:val="24"/>
              </w:rPr>
            </w:pPr>
            <w:r>
              <w:rPr>
                <w:rFonts w:hint="eastAsia" w:ascii="仿宋" w:hAnsi="仿宋" w:eastAsia="仿宋" w:cs="仿宋"/>
                <w:sz w:val="24"/>
                <w:szCs w:val="24"/>
              </w:rPr>
              <w:t>4</w:t>
            </w:r>
          </w:p>
        </w:tc>
        <w:tc>
          <w:tcPr>
            <w:tcW w:w="426" w:type="pct"/>
          </w:tcPr>
          <w:p w14:paraId="4C1A19CE">
            <w:pPr>
              <w:pStyle w:val="10"/>
              <w:jc w:val="left"/>
              <w:rPr>
                <w:rFonts w:hint="eastAsia" w:ascii="仿宋" w:hAnsi="仿宋" w:eastAsia="仿宋" w:cs="仿宋"/>
                <w:sz w:val="24"/>
                <w:szCs w:val="24"/>
              </w:rPr>
            </w:pPr>
            <w:r>
              <w:rPr>
                <w:rFonts w:hint="eastAsia" w:ascii="仿宋" w:hAnsi="仿宋" w:eastAsia="仿宋" w:cs="仿宋"/>
                <w:sz w:val="24"/>
                <w:szCs w:val="24"/>
              </w:rPr>
              <w:t>9.7</w:t>
            </w:r>
          </w:p>
          <w:p w14:paraId="0A5FF1AA">
            <w:pPr>
              <w:pStyle w:val="10"/>
              <w:jc w:val="left"/>
              <w:rPr>
                <w:rFonts w:hint="eastAsia" w:ascii="仿宋" w:hAnsi="仿宋" w:eastAsia="仿宋" w:cs="仿宋"/>
                <w:sz w:val="24"/>
                <w:szCs w:val="24"/>
              </w:rPr>
            </w:pPr>
            <w:r>
              <w:rPr>
                <w:rFonts w:hint="eastAsia" w:ascii="仿宋" w:hAnsi="仿宋" w:eastAsia="仿宋" w:cs="仿宋"/>
                <w:sz w:val="24"/>
                <w:szCs w:val="24"/>
              </w:rPr>
              <w:t xml:space="preserve"> （1）</w:t>
            </w:r>
          </w:p>
        </w:tc>
        <w:tc>
          <w:tcPr>
            <w:tcW w:w="4345" w:type="pct"/>
          </w:tcPr>
          <w:p w14:paraId="2025414A">
            <w:pPr>
              <w:pStyle w:val="10"/>
              <w:jc w:val="left"/>
              <w:rPr>
                <w:rFonts w:hint="eastAsia" w:ascii="仿宋" w:hAnsi="仿宋" w:eastAsia="仿宋" w:cs="仿宋"/>
                <w:sz w:val="24"/>
                <w:szCs w:val="24"/>
              </w:rPr>
            </w:pPr>
            <w:r>
              <w:rPr>
                <w:rFonts w:hint="eastAsia" w:ascii="仿宋" w:hAnsi="仿宋" w:eastAsia="仿宋" w:cs="仿宋"/>
                <w:sz w:val="24"/>
                <w:szCs w:val="24"/>
              </w:rPr>
              <w:t>响应有效期：提交响应文件截止时间起 90 个日历日。</w:t>
            </w:r>
          </w:p>
        </w:tc>
      </w:tr>
      <w:tr w14:paraId="7D0E2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3BA9641A">
            <w:pPr>
              <w:pStyle w:val="10"/>
              <w:jc w:val="left"/>
              <w:rPr>
                <w:rFonts w:hint="eastAsia" w:ascii="仿宋" w:hAnsi="仿宋" w:eastAsia="仿宋" w:cs="仿宋"/>
                <w:sz w:val="24"/>
                <w:szCs w:val="24"/>
              </w:rPr>
            </w:pPr>
            <w:r>
              <w:rPr>
                <w:rFonts w:hint="eastAsia" w:ascii="仿宋" w:hAnsi="仿宋" w:eastAsia="仿宋" w:cs="仿宋"/>
                <w:sz w:val="24"/>
                <w:szCs w:val="24"/>
              </w:rPr>
              <w:t>5</w:t>
            </w:r>
          </w:p>
        </w:tc>
        <w:tc>
          <w:tcPr>
            <w:tcW w:w="426" w:type="pct"/>
          </w:tcPr>
          <w:p w14:paraId="46D4082F">
            <w:pPr>
              <w:pStyle w:val="10"/>
              <w:jc w:val="left"/>
              <w:rPr>
                <w:rFonts w:hint="eastAsia" w:ascii="仿宋" w:hAnsi="仿宋" w:eastAsia="仿宋" w:cs="仿宋"/>
                <w:sz w:val="24"/>
                <w:szCs w:val="24"/>
              </w:rPr>
            </w:pPr>
            <w:r>
              <w:rPr>
                <w:rFonts w:hint="eastAsia" w:ascii="仿宋" w:hAnsi="仿宋" w:eastAsia="仿宋" w:cs="仿宋"/>
                <w:sz w:val="24"/>
                <w:szCs w:val="24"/>
              </w:rPr>
              <w:t>9.9 （2）</w:t>
            </w:r>
          </w:p>
        </w:tc>
        <w:tc>
          <w:tcPr>
            <w:tcW w:w="4345" w:type="pct"/>
          </w:tcPr>
          <w:p w14:paraId="588B7C8B">
            <w:pPr>
              <w:pStyle w:val="10"/>
              <w:jc w:val="left"/>
              <w:rPr>
                <w:rFonts w:hint="eastAsia" w:ascii="仿宋" w:hAnsi="仿宋" w:eastAsia="仿宋" w:cs="仿宋"/>
                <w:sz w:val="24"/>
                <w:szCs w:val="24"/>
              </w:rPr>
            </w:pPr>
            <w:r>
              <w:rPr>
                <w:rFonts w:hint="eastAsia" w:ascii="仿宋" w:hAnsi="仿宋" w:eastAsia="仿宋" w:cs="仿宋"/>
                <w:sz w:val="24"/>
                <w:szCs w:val="24"/>
              </w:rPr>
              <w:t>密封及其标记的具体形式：</w:t>
            </w:r>
          </w:p>
          <w:p w14:paraId="451009D2">
            <w:pPr>
              <w:pStyle w:val="10"/>
              <w:jc w:val="left"/>
              <w:rPr>
                <w:rFonts w:hint="eastAsia" w:ascii="仿宋" w:hAnsi="仿宋" w:eastAsia="仿宋" w:cs="仿宋"/>
                <w:sz w:val="24"/>
                <w:szCs w:val="24"/>
              </w:rPr>
            </w:pPr>
            <w:r>
              <w:rPr>
                <w:rFonts w:hint="eastAsia" w:ascii="仿宋" w:hAnsi="仿宋" w:eastAsia="仿宋" w:cs="仿宋"/>
                <w:sz w:val="24"/>
                <w:szCs w:val="24"/>
              </w:rPr>
              <w:t xml:space="preserve"> （1）全部响应文件包括正本、副本、电子文本均应密封。未密封将导致响应文件被拒收。</w:t>
            </w:r>
          </w:p>
          <w:p w14:paraId="72CC8217">
            <w:pPr>
              <w:pStyle w:val="10"/>
              <w:jc w:val="left"/>
              <w:rPr>
                <w:rFonts w:hint="eastAsia" w:ascii="仿宋" w:hAnsi="仿宋" w:eastAsia="仿宋" w:cs="仿宋"/>
                <w:sz w:val="24"/>
                <w:szCs w:val="24"/>
              </w:rPr>
            </w:pPr>
            <w:r>
              <w:rPr>
                <w:rFonts w:hint="eastAsia" w:ascii="仿宋" w:hAnsi="仿宋" w:eastAsia="仿宋" w:cs="仿宋"/>
                <w:sz w:val="24"/>
                <w:szCs w:val="24"/>
              </w:rPr>
              <w:t xml:space="preserve"> （2）密封的外包装应至少标记“项目名称、项目编号、所报采购包、供应商全称”等内容，否则造成响应文件误投、遗漏或者提前拆封的，采购代理机构不承担责任。</w:t>
            </w:r>
          </w:p>
          <w:p w14:paraId="11659064">
            <w:pPr>
              <w:pStyle w:val="10"/>
              <w:jc w:val="left"/>
              <w:rPr>
                <w:rFonts w:hint="eastAsia" w:ascii="仿宋" w:hAnsi="仿宋" w:eastAsia="仿宋" w:cs="仿宋"/>
                <w:sz w:val="24"/>
                <w:szCs w:val="24"/>
              </w:rPr>
            </w:pPr>
            <w:r>
              <w:rPr>
                <w:rFonts w:hint="eastAsia" w:ascii="仿宋" w:hAnsi="仿宋" w:eastAsia="仿宋" w:cs="仿宋"/>
                <w:sz w:val="24"/>
                <w:szCs w:val="24"/>
              </w:rPr>
              <w:t xml:space="preserve"> （3）其他：</w:t>
            </w:r>
          </w:p>
          <w:p w14:paraId="18E7515E">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r w14:paraId="699B1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1CE64006">
            <w:pPr>
              <w:pStyle w:val="10"/>
              <w:jc w:val="left"/>
              <w:rPr>
                <w:rFonts w:hint="eastAsia" w:ascii="仿宋" w:hAnsi="仿宋" w:eastAsia="仿宋" w:cs="仿宋"/>
                <w:sz w:val="24"/>
                <w:szCs w:val="24"/>
              </w:rPr>
            </w:pPr>
            <w:r>
              <w:rPr>
                <w:rFonts w:hint="eastAsia" w:ascii="仿宋" w:hAnsi="仿宋" w:eastAsia="仿宋" w:cs="仿宋"/>
                <w:sz w:val="24"/>
                <w:szCs w:val="24"/>
              </w:rPr>
              <w:t>6</w:t>
            </w:r>
          </w:p>
        </w:tc>
        <w:tc>
          <w:tcPr>
            <w:tcW w:w="426" w:type="pct"/>
          </w:tcPr>
          <w:p w14:paraId="061F434F">
            <w:pPr>
              <w:pStyle w:val="10"/>
              <w:jc w:val="left"/>
              <w:rPr>
                <w:rFonts w:hint="eastAsia" w:ascii="仿宋" w:hAnsi="仿宋" w:eastAsia="仿宋" w:cs="仿宋"/>
                <w:sz w:val="24"/>
                <w:szCs w:val="24"/>
              </w:rPr>
            </w:pPr>
            <w:r>
              <w:rPr>
                <w:rFonts w:hint="eastAsia" w:ascii="仿宋" w:hAnsi="仿宋" w:eastAsia="仿宋" w:cs="仿宋"/>
                <w:sz w:val="24"/>
                <w:szCs w:val="24"/>
              </w:rPr>
              <w:t>9.6（1）</w:t>
            </w:r>
          </w:p>
        </w:tc>
        <w:tc>
          <w:tcPr>
            <w:tcW w:w="4345" w:type="pct"/>
          </w:tcPr>
          <w:p w14:paraId="3DC73F1D">
            <w:pPr>
              <w:pStyle w:val="10"/>
              <w:jc w:val="left"/>
              <w:rPr>
                <w:rFonts w:hint="eastAsia" w:ascii="仿宋" w:hAnsi="仿宋" w:eastAsia="仿宋" w:cs="仿宋"/>
                <w:sz w:val="24"/>
                <w:szCs w:val="24"/>
              </w:rPr>
            </w:pPr>
            <w:r>
              <w:rPr>
                <w:rFonts w:hint="eastAsia" w:ascii="仿宋" w:hAnsi="仿宋" w:eastAsia="仿宋" w:cs="仿宋"/>
                <w:sz w:val="24"/>
                <w:szCs w:val="24"/>
              </w:rPr>
              <w:t>是否允许成交人进行分包：</w:t>
            </w:r>
          </w:p>
          <w:p w14:paraId="30C82691">
            <w:pPr>
              <w:pStyle w:val="10"/>
              <w:jc w:val="left"/>
              <w:rPr>
                <w:rFonts w:hint="eastAsia" w:ascii="仿宋" w:hAnsi="仿宋" w:eastAsia="仿宋" w:cs="仿宋"/>
                <w:sz w:val="24"/>
                <w:szCs w:val="24"/>
              </w:rPr>
            </w:pPr>
            <w:r>
              <w:rPr>
                <w:rFonts w:hint="eastAsia" w:ascii="仿宋" w:hAnsi="仿宋" w:eastAsia="仿宋" w:cs="仿宋"/>
                <w:sz w:val="24"/>
                <w:szCs w:val="24"/>
              </w:rPr>
              <w:t>采购包1：不允许合同分包；</w:t>
            </w:r>
          </w:p>
        </w:tc>
      </w:tr>
      <w:tr w14:paraId="3B9F9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3FE92511">
            <w:pPr>
              <w:pStyle w:val="10"/>
              <w:jc w:val="left"/>
              <w:rPr>
                <w:rFonts w:hint="eastAsia" w:ascii="仿宋" w:hAnsi="仿宋" w:eastAsia="仿宋" w:cs="仿宋"/>
                <w:sz w:val="24"/>
                <w:szCs w:val="24"/>
              </w:rPr>
            </w:pPr>
            <w:r>
              <w:rPr>
                <w:rFonts w:hint="eastAsia" w:ascii="仿宋" w:hAnsi="仿宋" w:eastAsia="仿宋" w:cs="仿宋"/>
                <w:sz w:val="24"/>
                <w:szCs w:val="24"/>
              </w:rPr>
              <w:t>7</w:t>
            </w:r>
          </w:p>
        </w:tc>
        <w:tc>
          <w:tcPr>
            <w:tcW w:w="426" w:type="pct"/>
          </w:tcPr>
          <w:p w14:paraId="339548F4">
            <w:pPr>
              <w:pStyle w:val="10"/>
              <w:jc w:val="left"/>
              <w:rPr>
                <w:rFonts w:hint="eastAsia" w:ascii="仿宋" w:hAnsi="仿宋" w:eastAsia="仿宋" w:cs="仿宋"/>
                <w:sz w:val="24"/>
                <w:szCs w:val="24"/>
              </w:rPr>
            </w:pPr>
            <w:r>
              <w:rPr>
                <w:rFonts w:hint="eastAsia" w:ascii="仿宋" w:hAnsi="仿宋" w:eastAsia="仿宋" w:cs="仿宋"/>
                <w:sz w:val="24"/>
                <w:szCs w:val="24"/>
              </w:rPr>
              <w:t>11.1</w:t>
            </w:r>
          </w:p>
        </w:tc>
        <w:tc>
          <w:tcPr>
            <w:tcW w:w="4345" w:type="pct"/>
          </w:tcPr>
          <w:p w14:paraId="06D5C43F">
            <w:pPr>
              <w:pStyle w:val="10"/>
              <w:jc w:val="left"/>
              <w:rPr>
                <w:rFonts w:hint="eastAsia" w:ascii="仿宋" w:hAnsi="仿宋" w:eastAsia="仿宋" w:cs="仿宋"/>
                <w:sz w:val="24"/>
                <w:szCs w:val="24"/>
              </w:rPr>
            </w:pPr>
            <w:r>
              <w:rPr>
                <w:rFonts w:hint="eastAsia" w:ascii="仿宋" w:hAnsi="仿宋" w:eastAsia="仿宋" w:cs="仿宋"/>
                <w:sz w:val="24"/>
                <w:szCs w:val="24"/>
              </w:rPr>
              <w:t>中标人家数：</w:t>
            </w:r>
          </w:p>
          <w:p w14:paraId="4B0F4BB2">
            <w:pPr>
              <w:pStyle w:val="10"/>
              <w:jc w:val="left"/>
              <w:rPr>
                <w:rFonts w:hint="eastAsia" w:ascii="仿宋" w:hAnsi="仿宋" w:eastAsia="仿宋" w:cs="仿宋"/>
                <w:sz w:val="24"/>
                <w:szCs w:val="24"/>
              </w:rPr>
            </w:pPr>
            <w:r>
              <w:rPr>
                <w:rFonts w:hint="eastAsia" w:ascii="仿宋" w:hAnsi="仿宋" w:eastAsia="仿宋" w:cs="仿宋"/>
                <w:sz w:val="24"/>
                <w:szCs w:val="24"/>
              </w:rPr>
              <w:t>采购包1：1名</w:t>
            </w:r>
          </w:p>
        </w:tc>
      </w:tr>
      <w:tr w14:paraId="1A8B2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27E56C9C">
            <w:pPr>
              <w:pStyle w:val="10"/>
              <w:jc w:val="left"/>
              <w:rPr>
                <w:rFonts w:hint="eastAsia" w:ascii="仿宋" w:hAnsi="仿宋" w:eastAsia="仿宋" w:cs="仿宋"/>
                <w:sz w:val="24"/>
                <w:szCs w:val="24"/>
              </w:rPr>
            </w:pPr>
            <w:r>
              <w:rPr>
                <w:rFonts w:hint="eastAsia" w:ascii="仿宋" w:hAnsi="仿宋" w:eastAsia="仿宋" w:cs="仿宋"/>
                <w:sz w:val="24"/>
                <w:szCs w:val="24"/>
              </w:rPr>
              <w:t>8</w:t>
            </w:r>
          </w:p>
        </w:tc>
        <w:tc>
          <w:tcPr>
            <w:tcW w:w="426" w:type="pct"/>
          </w:tcPr>
          <w:p w14:paraId="05B9A5B0">
            <w:pPr>
              <w:pStyle w:val="10"/>
              <w:jc w:val="left"/>
              <w:rPr>
                <w:rFonts w:hint="eastAsia" w:ascii="仿宋" w:hAnsi="仿宋" w:eastAsia="仿宋" w:cs="仿宋"/>
                <w:sz w:val="24"/>
                <w:szCs w:val="24"/>
              </w:rPr>
            </w:pPr>
            <w:r>
              <w:rPr>
                <w:rFonts w:hint="eastAsia" w:ascii="仿宋" w:hAnsi="仿宋" w:eastAsia="仿宋" w:cs="仿宋"/>
                <w:sz w:val="24"/>
                <w:szCs w:val="24"/>
              </w:rPr>
              <w:t>12.2</w:t>
            </w:r>
          </w:p>
        </w:tc>
        <w:tc>
          <w:tcPr>
            <w:tcW w:w="4345" w:type="pct"/>
          </w:tcPr>
          <w:p w14:paraId="0C5C303A">
            <w:pPr>
              <w:pStyle w:val="10"/>
              <w:jc w:val="left"/>
              <w:rPr>
                <w:rFonts w:hint="eastAsia" w:ascii="仿宋" w:hAnsi="仿宋" w:eastAsia="仿宋" w:cs="仿宋"/>
                <w:sz w:val="24"/>
                <w:szCs w:val="24"/>
              </w:rPr>
            </w:pPr>
            <w:r>
              <w:rPr>
                <w:rFonts w:hint="eastAsia" w:ascii="仿宋" w:hAnsi="仿宋" w:eastAsia="仿宋" w:cs="仿宋"/>
                <w:sz w:val="24"/>
                <w:szCs w:val="24"/>
              </w:rPr>
              <w:t>合同签订时限： 自中标通知书发出之日起</w:t>
            </w:r>
            <w:r>
              <w:rPr>
                <w:rFonts w:hint="eastAsia" w:ascii="仿宋" w:hAnsi="仿宋" w:eastAsia="仿宋" w:cs="仿宋"/>
                <w:b/>
                <w:bCs/>
                <w:sz w:val="24"/>
                <w:szCs w:val="24"/>
                <w:lang w:val="en-US" w:eastAsia="zh-CN"/>
              </w:rPr>
              <w:t>10</w:t>
            </w:r>
            <w:r>
              <w:rPr>
                <w:rFonts w:hint="eastAsia" w:ascii="仿宋" w:hAnsi="仿宋" w:eastAsia="仿宋" w:cs="仿宋"/>
                <w:sz w:val="24"/>
                <w:szCs w:val="24"/>
              </w:rPr>
              <w:t>个日历日内。</w:t>
            </w:r>
          </w:p>
        </w:tc>
      </w:tr>
      <w:tr w14:paraId="368BE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24F36282">
            <w:pPr>
              <w:pStyle w:val="10"/>
              <w:jc w:val="left"/>
              <w:rPr>
                <w:rFonts w:hint="eastAsia" w:ascii="仿宋" w:hAnsi="仿宋" w:eastAsia="仿宋" w:cs="仿宋"/>
                <w:sz w:val="24"/>
                <w:szCs w:val="24"/>
              </w:rPr>
            </w:pPr>
            <w:r>
              <w:rPr>
                <w:rFonts w:hint="eastAsia" w:ascii="仿宋" w:hAnsi="仿宋" w:eastAsia="仿宋" w:cs="仿宋"/>
                <w:sz w:val="24"/>
                <w:szCs w:val="24"/>
              </w:rPr>
              <w:t>9</w:t>
            </w:r>
          </w:p>
        </w:tc>
        <w:tc>
          <w:tcPr>
            <w:tcW w:w="426" w:type="pct"/>
          </w:tcPr>
          <w:p w14:paraId="340E094E">
            <w:pPr>
              <w:pStyle w:val="10"/>
              <w:jc w:val="left"/>
              <w:rPr>
                <w:rFonts w:hint="eastAsia" w:ascii="仿宋" w:hAnsi="仿宋" w:eastAsia="仿宋" w:cs="仿宋"/>
                <w:sz w:val="24"/>
                <w:szCs w:val="24"/>
              </w:rPr>
            </w:pPr>
            <w:r>
              <w:rPr>
                <w:rFonts w:hint="eastAsia" w:ascii="仿宋" w:hAnsi="仿宋" w:eastAsia="仿宋" w:cs="仿宋"/>
                <w:sz w:val="24"/>
                <w:szCs w:val="24"/>
              </w:rPr>
              <w:t>17.1</w:t>
            </w:r>
          </w:p>
        </w:tc>
        <w:tc>
          <w:tcPr>
            <w:tcW w:w="4345" w:type="pct"/>
          </w:tcPr>
          <w:p w14:paraId="154E33D6">
            <w:pPr>
              <w:pStyle w:val="10"/>
              <w:jc w:val="left"/>
              <w:rPr>
                <w:rFonts w:hint="eastAsia" w:ascii="仿宋" w:hAnsi="仿宋" w:eastAsia="仿宋" w:cs="仿宋"/>
                <w:sz w:val="24"/>
                <w:szCs w:val="24"/>
              </w:rPr>
            </w:pPr>
            <w:r>
              <w:rPr>
                <w:rFonts w:hint="eastAsia" w:ascii="仿宋" w:hAnsi="仿宋" w:eastAsia="仿宋" w:cs="仿宋"/>
                <w:sz w:val="24"/>
                <w:szCs w:val="24"/>
              </w:rPr>
              <w:t>财政部和福建省财政厅指定的政府采购信息发布媒体（以下简称：“指定媒体”）：</w:t>
            </w:r>
          </w:p>
          <w:p w14:paraId="47D4DDA5">
            <w:pPr>
              <w:pStyle w:val="10"/>
              <w:jc w:val="left"/>
              <w:rPr>
                <w:rFonts w:hint="eastAsia" w:ascii="仿宋" w:hAnsi="仿宋" w:eastAsia="仿宋" w:cs="仿宋"/>
                <w:sz w:val="24"/>
                <w:szCs w:val="24"/>
              </w:rPr>
            </w:pPr>
            <w:r>
              <w:rPr>
                <w:rFonts w:hint="eastAsia" w:ascii="仿宋" w:hAnsi="仿宋" w:eastAsia="仿宋" w:cs="仿宋"/>
                <w:sz w:val="24"/>
                <w:szCs w:val="24"/>
              </w:rPr>
              <w:t>（1）中国政府采购网，网址www.ccgp.gov.cn。</w:t>
            </w:r>
          </w:p>
          <w:p w14:paraId="253E784E">
            <w:pPr>
              <w:pStyle w:val="10"/>
              <w:jc w:val="left"/>
              <w:rPr>
                <w:rFonts w:hint="eastAsia" w:ascii="仿宋" w:hAnsi="仿宋" w:eastAsia="仿宋" w:cs="仿宋"/>
                <w:sz w:val="24"/>
                <w:szCs w:val="24"/>
              </w:rPr>
            </w:pPr>
            <w:r>
              <w:rPr>
                <w:rFonts w:hint="eastAsia" w:ascii="仿宋" w:hAnsi="仿宋" w:eastAsia="仿宋" w:cs="仿宋"/>
                <w:sz w:val="24"/>
                <w:szCs w:val="24"/>
              </w:rPr>
              <w:t>（2）中国政府采购网福建分网（福建省政府采购分网），网址zfcg.czt.fujian.gov.cn。</w:t>
            </w:r>
          </w:p>
          <w:p w14:paraId="4FC1BFAB">
            <w:pPr>
              <w:pStyle w:val="10"/>
              <w:jc w:val="left"/>
              <w:rPr>
                <w:rFonts w:hint="eastAsia" w:ascii="仿宋" w:hAnsi="仿宋" w:eastAsia="仿宋" w:cs="仿宋"/>
                <w:sz w:val="24"/>
                <w:szCs w:val="24"/>
              </w:rPr>
            </w:pPr>
            <w:r>
              <w:rPr>
                <w:rFonts w:hint="eastAsia" w:ascii="仿宋" w:hAnsi="仿宋" w:eastAsia="仿宋" w:cs="仿宋"/>
                <w:sz w:val="24"/>
                <w:szCs w:val="24"/>
              </w:rPr>
              <w:t>※上述指定媒体的有关信息若不一致，应以中国政府采购网福建分网（福建省政府采购网）发布的为准。</w:t>
            </w:r>
          </w:p>
        </w:tc>
      </w:tr>
      <w:tr w14:paraId="10B29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44510194">
            <w:pPr>
              <w:pStyle w:val="10"/>
              <w:jc w:val="left"/>
              <w:rPr>
                <w:rFonts w:hint="eastAsia" w:ascii="仿宋" w:hAnsi="仿宋" w:eastAsia="仿宋" w:cs="仿宋"/>
                <w:sz w:val="24"/>
                <w:szCs w:val="24"/>
              </w:rPr>
            </w:pPr>
            <w:r>
              <w:rPr>
                <w:rFonts w:hint="eastAsia" w:ascii="仿宋" w:hAnsi="仿宋" w:eastAsia="仿宋" w:cs="仿宋"/>
                <w:sz w:val="24"/>
                <w:szCs w:val="24"/>
              </w:rPr>
              <w:t>10</w:t>
            </w:r>
          </w:p>
        </w:tc>
        <w:tc>
          <w:tcPr>
            <w:tcW w:w="426" w:type="pct"/>
          </w:tcPr>
          <w:p w14:paraId="40E16BEA">
            <w:pPr>
              <w:rPr>
                <w:rFonts w:hint="eastAsia" w:ascii="仿宋" w:hAnsi="仿宋" w:eastAsia="仿宋" w:cs="仿宋"/>
                <w:sz w:val="24"/>
                <w:szCs w:val="24"/>
              </w:rPr>
            </w:pPr>
          </w:p>
        </w:tc>
        <w:tc>
          <w:tcPr>
            <w:tcW w:w="4345" w:type="pct"/>
          </w:tcPr>
          <w:p w14:paraId="59788703">
            <w:pPr>
              <w:pStyle w:val="10"/>
              <w:jc w:val="left"/>
              <w:rPr>
                <w:rFonts w:hint="eastAsia" w:ascii="仿宋" w:hAnsi="仿宋" w:eastAsia="仿宋" w:cs="仿宋"/>
                <w:sz w:val="24"/>
                <w:szCs w:val="24"/>
              </w:rPr>
            </w:pPr>
            <w:r>
              <w:rPr>
                <w:rFonts w:hint="eastAsia" w:ascii="仿宋" w:hAnsi="仿宋" w:eastAsia="仿宋" w:cs="仿宋"/>
                <w:sz w:val="24"/>
                <w:szCs w:val="24"/>
              </w:rPr>
              <w:t>合同付款方式 见第四章三、商务条件</w:t>
            </w:r>
          </w:p>
        </w:tc>
      </w:tr>
      <w:tr w14:paraId="1CBC2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54E3A02B">
            <w:pPr>
              <w:pStyle w:val="10"/>
              <w:jc w:val="left"/>
              <w:rPr>
                <w:rFonts w:hint="eastAsia" w:ascii="仿宋" w:hAnsi="仿宋" w:eastAsia="仿宋" w:cs="仿宋"/>
                <w:sz w:val="24"/>
                <w:szCs w:val="24"/>
              </w:rPr>
            </w:pPr>
            <w:r>
              <w:rPr>
                <w:rFonts w:hint="eastAsia" w:ascii="仿宋" w:hAnsi="仿宋" w:eastAsia="仿宋" w:cs="仿宋"/>
                <w:sz w:val="24"/>
                <w:szCs w:val="24"/>
              </w:rPr>
              <w:t>11</w:t>
            </w:r>
          </w:p>
        </w:tc>
        <w:tc>
          <w:tcPr>
            <w:tcW w:w="426" w:type="pct"/>
          </w:tcPr>
          <w:p w14:paraId="40FCB313">
            <w:pPr>
              <w:rPr>
                <w:rFonts w:hint="eastAsia" w:ascii="仿宋" w:hAnsi="仿宋" w:eastAsia="仿宋" w:cs="仿宋"/>
                <w:sz w:val="24"/>
                <w:szCs w:val="24"/>
              </w:rPr>
            </w:pPr>
          </w:p>
        </w:tc>
        <w:tc>
          <w:tcPr>
            <w:tcW w:w="4345" w:type="pct"/>
          </w:tcPr>
          <w:p w14:paraId="0D5296FC">
            <w:pPr>
              <w:pStyle w:val="10"/>
              <w:jc w:val="left"/>
              <w:rPr>
                <w:rFonts w:hint="eastAsia" w:ascii="仿宋" w:hAnsi="仿宋" w:eastAsia="仿宋" w:cs="仿宋"/>
                <w:sz w:val="24"/>
                <w:szCs w:val="24"/>
              </w:rPr>
            </w:pPr>
            <w:r>
              <w:rPr>
                <w:rFonts w:hint="eastAsia" w:ascii="仿宋" w:hAnsi="仿宋" w:eastAsia="仿宋" w:cs="仿宋"/>
                <w:sz w:val="24"/>
                <w:szCs w:val="24"/>
              </w:rPr>
              <w:t>（1）本项目代理服务费：</w:t>
            </w:r>
          </w:p>
          <w:p w14:paraId="7CDA3EC1">
            <w:pPr>
              <w:pStyle w:val="10"/>
              <w:jc w:val="left"/>
              <w:rPr>
                <w:rFonts w:hint="eastAsia" w:ascii="仿宋" w:hAnsi="仿宋" w:eastAsia="仿宋" w:cs="仿宋"/>
                <w:sz w:val="24"/>
                <w:szCs w:val="24"/>
              </w:rPr>
            </w:pPr>
            <w:r>
              <w:rPr>
                <w:rFonts w:hint="eastAsia" w:ascii="仿宋" w:hAnsi="仿宋" w:eastAsia="仿宋" w:cs="仿宋"/>
                <w:sz w:val="24"/>
                <w:szCs w:val="24"/>
              </w:rPr>
              <w:t>本项目收取代理服务费</w:t>
            </w:r>
          </w:p>
          <w:p w14:paraId="0B9C88D8">
            <w:pPr>
              <w:pStyle w:val="10"/>
              <w:jc w:val="left"/>
              <w:rPr>
                <w:rFonts w:hint="eastAsia" w:ascii="仿宋" w:hAnsi="仿宋" w:eastAsia="仿宋" w:cs="仿宋"/>
                <w:sz w:val="24"/>
                <w:szCs w:val="24"/>
              </w:rPr>
            </w:pPr>
            <w:r>
              <w:rPr>
                <w:rFonts w:hint="eastAsia" w:ascii="仿宋" w:hAnsi="仿宋" w:eastAsia="仿宋" w:cs="仿宋"/>
                <w:sz w:val="24"/>
                <w:szCs w:val="24"/>
              </w:rPr>
              <w:t>代理服务费用收取对象：中标/成交供应商</w:t>
            </w:r>
          </w:p>
          <w:p w14:paraId="5DCE1AF1">
            <w:pPr>
              <w:pStyle w:val="10"/>
              <w:jc w:val="left"/>
              <w:rPr>
                <w:rFonts w:hint="eastAsia" w:ascii="仿宋" w:hAnsi="仿宋" w:eastAsia="仿宋" w:cs="仿宋"/>
                <w:sz w:val="24"/>
                <w:szCs w:val="24"/>
              </w:rPr>
            </w:pPr>
            <w:r>
              <w:rPr>
                <w:rFonts w:hint="eastAsia" w:ascii="仿宋" w:hAnsi="仿宋" w:eastAsia="仿宋" w:cs="仿宋"/>
                <w:sz w:val="24"/>
                <w:szCs w:val="24"/>
              </w:rPr>
              <w:t>代理服务费收费标准：（1）以中标（成交）通知书规定的中标（成交）总金额作为收费的计算基数，招标代理服务费按差额定率累进法计算。（2）招标代理服务收费的标准：100(万元)以下收费费率标准：1.50%，100-500（万元）收费费率标准：1.1%，不足5000元的按5000元计算。（3）招标代理服务费的收取方式：成交供应商应按规定的标准一次性向采购代理机构缴清招标代理服务费。招标代理服务费收费以银行转账、电汇、汇票等非现金方式支付。（4）招标代理服务费缴交银行账号：开户名：</w:t>
            </w:r>
            <w:r>
              <w:rPr>
                <w:rFonts w:hint="eastAsia" w:ascii="仿宋" w:hAnsi="仿宋" w:eastAsia="仿宋" w:cs="仿宋"/>
                <w:sz w:val="24"/>
                <w:szCs w:val="24"/>
                <w:lang w:eastAsia="zh-CN"/>
              </w:rPr>
              <w:t>XX代理公司</w:t>
            </w:r>
            <w:r>
              <w:rPr>
                <w:rFonts w:hint="eastAsia" w:ascii="仿宋" w:hAnsi="仿宋" w:eastAsia="仿宋" w:cs="仿宋"/>
                <w:sz w:val="24"/>
                <w:szCs w:val="24"/>
              </w:rPr>
              <w:t>，开户行：</w:t>
            </w:r>
            <w:r>
              <w:rPr>
                <w:rFonts w:hint="eastAsia" w:ascii="仿宋" w:hAnsi="仿宋" w:eastAsia="仿宋" w:cs="仿宋"/>
                <w:sz w:val="24"/>
                <w:szCs w:val="24"/>
                <w:lang w:val="en-US" w:eastAsia="zh-CN"/>
              </w:rPr>
              <w:t>xx</w:t>
            </w:r>
            <w:r>
              <w:rPr>
                <w:rFonts w:hint="eastAsia" w:ascii="仿宋" w:hAnsi="仿宋" w:eastAsia="仿宋" w:cs="仿宋"/>
                <w:sz w:val="24"/>
                <w:szCs w:val="24"/>
              </w:rPr>
              <w:t>，账号：</w:t>
            </w:r>
            <w:r>
              <w:rPr>
                <w:rFonts w:hint="eastAsia" w:ascii="仿宋" w:hAnsi="仿宋" w:eastAsia="仿宋" w:cs="仿宋"/>
                <w:sz w:val="24"/>
                <w:szCs w:val="24"/>
                <w:lang w:val="en-US" w:eastAsia="zh-CN"/>
              </w:rPr>
              <w:t>XXX</w:t>
            </w:r>
            <w:r>
              <w:rPr>
                <w:rFonts w:hint="eastAsia" w:ascii="仿宋" w:hAnsi="仿宋" w:eastAsia="仿宋" w:cs="仿宋"/>
                <w:sz w:val="24"/>
                <w:szCs w:val="24"/>
              </w:rPr>
              <w:t>。</w:t>
            </w:r>
          </w:p>
        </w:tc>
      </w:tr>
      <w:tr w14:paraId="64068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4E587F85">
            <w:pPr>
              <w:pStyle w:val="10"/>
              <w:jc w:val="left"/>
              <w:rPr>
                <w:rFonts w:hint="eastAsia" w:ascii="仿宋" w:hAnsi="仿宋" w:eastAsia="仿宋" w:cs="仿宋"/>
                <w:sz w:val="24"/>
                <w:szCs w:val="24"/>
              </w:rPr>
            </w:pPr>
            <w:r>
              <w:rPr>
                <w:rFonts w:hint="eastAsia" w:ascii="仿宋" w:hAnsi="仿宋" w:eastAsia="仿宋" w:cs="仿宋"/>
                <w:sz w:val="24"/>
                <w:szCs w:val="24"/>
              </w:rPr>
              <w:t>12</w:t>
            </w:r>
          </w:p>
        </w:tc>
        <w:tc>
          <w:tcPr>
            <w:tcW w:w="426" w:type="pct"/>
          </w:tcPr>
          <w:p w14:paraId="78F9C9C5">
            <w:pPr>
              <w:pStyle w:val="10"/>
              <w:jc w:val="left"/>
              <w:rPr>
                <w:rFonts w:hint="eastAsia" w:ascii="仿宋" w:hAnsi="仿宋" w:eastAsia="仿宋" w:cs="仿宋"/>
                <w:sz w:val="24"/>
                <w:szCs w:val="24"/>
              </w:rPr>
            </w:pPr>
            <w:r>
              <w:rPr>
                <w:rFonts w:hint="eastAsia" w:ascii="仿宋" w:hAnsi="仿宋" w:eastAsia="仿宋" w:cs="仿宋"/>
                <w:sz w:val="24"/>
                <w:szCs w:val="24"/>
              </w:rPr>
              <w:t>15.1</w:t>
            </w:r>
          </w:p>
        </w:tc>
        <w:tc>
          <w:tcPr>
            <w:tcW w:w="4345" w:type="pct"/>
          </w:tcPr>
          <w:p w14:paraId="13B5E14A">
            <w:pPr>
              <w:pStyle w:val="10"/>
              <w:jc w:val="left"/>
              <w:rPr>
                <w:rFonts w:hint="eastAsia" w:ascii="仿宋" w:hAnsi="仿宋" w:eastAsia="仿宋" w:cs="仿宋"/>
                <w:sz w:val="24"/>
                <w:szCs w:val="24"/>
              </w:rPr>
            </w:pPr>
            <w:r>
              <w:rPr>
                <w:rFonts w:hint="eastAsia" w:ascii="仿宋" w:hAnsi="仿宋" w:eastAsia="仿宋" w:cs="仿宋"/>
                <w:sz w:val="24"/>
                <w:szCs w:val="24"/>
              </w:rPr>
              <w:t>监督管理部门：邵武市财政局政府采购监督管理办公室</w:t>
            </w:r>
          </w:p>
        </w:tc>
      </w:tr>
      <w:tr w14:paraId="1D204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2012BC30">
            <w:pPr>
              <w:pStyle w:val="10"/>
              <w:jc w:val="left"/>
              <w:rPr>
                <w:rFonts w:hint="eastAsia" w:ascii="仿宋" w:hAnsi="仿宋" w:eastAsia="仿宋" w:cs="仿宋"/>
                <w:sz w:val="24"/>
                <w:szCs w:val="24"/>
              </w:rPr>
            </w:pPr>
            <w:r>
              <w:rPr>
                <w:rFonts w:hint="eastAsia" w:ascii="仿宋" w:hAnsi="仿宋" w:eastAsia="仿宋" w:cs="仿宋"/>
                <w:sz w:val="24"/>
                <w:szCs w:val="24"/>
              </w:rPr>
              <w:t>13</w:t>
            </w:r>
          </w:p>
        </w:tc>
        <w:tc>
          <w:tcPr>
            <w:tcW w:w="426" w:type="pct"/>
          </w:tcPr>
          <w:p w14:paraId="39D568A2">
            <w:pPr>
              <w:rPr>
                <w:rFonts w:hint="eastAsia" w:ascii="仿宋" w:hAnsi="仿宋" w:eastAsia="仿宋" w:cs="仿宋"/>
                <w:sz w:val="24"/>
                <w:szCs w:val="24"/>
              </w:rPr>
            </w:pPr>
          </w:p>
        </w:tc>
        <w:tc>
          <w:tcPr>
            <w:tcW w:w="4345" w:type="pct"/>
          </w:tcPr>
          <w:p w14:paraId="4BF5DF68">
            <w:pPr>
              <w:pStyle w:val="10"/>
              <w:jc w:val="left"/>
              <w:rPr>
                <w:rFonts w:hint="eastAsia" w:ascii="仿宋" w:hAnsi="仿宋" w:eastAsia="仿宋" w:cs="仿宋"/>
                <w:sz w:val="24"/>
                <w:szCs w:val="24"/>
              </w:rPr>
            </w:pPr>
            <w:r>
              <w:rPr>
                <w:rFonts w:hint="eastAsia" w:ascii="仿宋" w:hAnsi="仿宋" w:eastAsia="仿宋" w:cs="仿宋"/>
                <w:sz w:val="24"/>
                <w:szCs w:val="24"/>
              </w:rPr>
              <w:t>报价无效条款：</w:t>
            </w:r>
          </w:p>
          <w:p w14:paraId="10560A40">
            <w:pPr>
              <w:pStyle w:val="10"/>
              <w:jc w:val="left"/>
              <w:rPr>
                <w:rFonts w:hint="eastAsia" w:ascii="仿宋" w:hAnsi="仿宋" w:eastAsia="仿宋" w:cs="仿宋"/>
                <w:sz w:val="24"/>
                <w:szCs w:val="24"/>
              </w:rPr>
            </w:pPr>
            <w:r>
              <w:rPr>
                <w:rFonts w:hint="eastAsia" w:ascii="仿宋" w:hAnsi="仿宋" w:eastAsia="仿宋" w:cs="仿宋"/>
                <w:sz w:val="24"/>
                <w:szCs w:val="24"/>
              </w:rPr>
              <w:t xml:space="preserve"> （1）本章表2报价无效的规定；</w:t>
            </w:r>
          </w:p>
          <w:p w14:paraId="04460CED">
            <w:pPr>
              <w:pStyle w:val="10"/>
              <w:jc w:val="left"/>
              <w:rPr>
                <w:rFonts w:hint="eastAsia" w:ascii="仿宋" w:hAnsi="仿宋" w:eastAsia="仿宋" w:cs="仿宋"/>
                <w:sz w:val="24"/>
                <w:szCs w:val="24"/>
              </w:rPr>
            </w:pPr>
            <w:r>
              <w:rPr>
                <w:rFonts w:hint="eastAsia" w:ascii="仿宋" w:hAnsi="仿宋" w:eastAsia="仿宋" w:cs="仿宋"/>
                <w:sz w:val="24"/>
                <w:szCs w:val="24"/>
              </w:rPr>
              <w:t xml:space="preserve"> （2）本章第2节中的第3.1、7.2、8、9.5、9.7、9.8、9.11条；</w:t>
            </w:r>
          </w:p>
          <w:p w14:paraId="3F63B1D5">
            <w:pPr>
              <w:pStyle w:val="10"/>
              <w:jc w:val="left"/>
              <w:rPr>
                <w:rFonts w:hint="eastAsia" w:ascii="仿宋" w:hAnsi="仿宋" w:eastAsia="仿宋" w:cs="仿宋"/>
                <w:sz w:val="24"/>
                <w:szCs w:val="24"/>
              </w:rPr>
            </w:pPr>
            <w:r>
              <w:rPr>
                <w:rFonts w:hint="eastAsia" w:ascii="仿宋" w:hAnsi="仿宋" w:eastAsia="仿宋" w:cs="仿宋"/>
                <w:sz w:val="24"/>
                <w:szCs w:val="24"/>
              </w:rPr>
              <w:t xml:space="preserve"> （3）第三章评审及第六章响应文件格式规定的报价无效的规定。</w:t>
            </w:r>
          </w:p>
        </w:tc>
      </w:tr>
      <w:tr w14:paraId="51C25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5D7F0C6C">
            <w:pPr>
              <w:pStyle w:val="10"/>
              <w:jc w:val="left"/>
              <w:rPr>
                <w:rFonts w:hint="eastAsia" w:ascii="仿宋" w:hAnsi="仿宋" w:eastAsia="仿宋" w:cs="仿宋"/>
                <w:sz w:val="24"/>
                <w:szCs w:val="24"/>
              </w:rPr>
            </w:pPr>
            <w:r>
              <w:rPr>
                <w:rFonts w:hint="eastAsia" w:ascii="仿宋" w:hAnsi="仿宋" w:eastAsia="仿宋" w:cs="仿宋"/>
                <w:sz w:val="24"/>
                <w:szCs w:val="24"/>
              </w:rPr>
              <w:t>14</w:t>
            </w:r>
          </w:p>
        </w:tc>
        <w:tc>
          <w:tcPr>
            <w:tcW w:w="426" w:type="pct"/>
          </w:tcPr>
          <w:p w14:paraId="7CFB7378">
            <w:pPr>
              <w:pStyle w:val="10"/>
              <w:jc w:val="left"/>
              <w:rPr>
                <w:rFonts w:hint="eastAsia" w:ascii="仿宋" w:hAnsi="仿宋" w:eastAsia="仿宋" w:cs="仿宋"/>
                <w:sz w:val="24"/>
                <w:szCs w:val="24"/>
              </w:rPr>
            </w:pPr>
            <w:r>
              <w:rPr>
                <w:rFonts w:hint="eastAsia" w:ascii="仿宋" w:hAnsi="仿宋" w:eastAsia="仿宋" w:cs="仿宋"/>
                <w:sz w:val="24"/>
                <w:szCs w:val="24"/>
              </w:rPr>
              <w:t>18</w:t>
            </w:r>
          </w:p>
        </w:tc>
        <w:tc>
          <w:tcPr>
            <w:tcW w:w="4345" w:type="pct"/>
          </w:tcPr>
          <w:p w14:paraId="1A5F2468">
            <w:pPr>
              <w:pStyle w:val="10"/>
              <w:jc w:val="left"/>
              <w:rPr>
                <w:rFonts w:hint="eastAsia" w:ascii="仿宋" w:hAnsi="仿宋" w:eastAsia="仿宋" w:cs="仿宋"/>
                <w:sz w:val="24"/>
                <w:szCs w:val="24"/>
              </w:rPr>
            </w:pPr>
            <w:r>
              <w:rPr>
                <w:rFonts w:hint="eastAsia" w:ascii="仿宋" w:hAnsi="仿宋" w:eastAsia="仿宋" w:cs="仿宋"/>
                <w:sz w:val="24"/>
                <w:szCs w:val="24"/>
              </w:rPr>
              <w:t>其他事项：</w:t>
            </w:r>
          </w:p>
          <w:p w14:paraId="334D019C">
            <w:pPr>
              <w:pStyle w:val="10"/>
              <w:jc w:val="left"/>
              <w:rPr>
                <w:rFonts w:hint="eastAsia" w:ascii="仿宋" w:hAnsi="仿宋" w:eastAsia="仿宋" w:cs="仿宋"/>
                <w:sz w:val="24"/>
                <w:szCs w:val="24"/>
              </w:rPr>
            </w:pPr>
            <w:r>
              <w:rPr>
                <w:rFonts w:hint="eastAsia" w:ascii="仿宋" w:hAnsi="仿宋" w:eastAsia="仿宋" w:cs="仿宋"/>
                <w:sz w:val="24"/>
                <w:szCs w:val="24"/>
              </w:rPr>
              <w:t>2.1最高限价：供应商超过最高限价的报价为无效报价。根据《中华人民共和国价格法》第六条、第十八条规定，供应商依法有权自主制定属于市场调节的价格，有权根据企业的生产经营成本等自身情况和市场供求状况等外部因素自主定价。 2.2实质性要求和条件：以下为可能导致无效响应的条款，具体内容详见询价通知书各章节，请各供应商认真查看对照。 (1)投标报价不符合询价须知前附表第14项号2.1条款规定的。 (2)不符合询价须知前附表第14项号2.2条款规定的。 (3)出现第二章《询价须知》、第三章《评审》无效响应规定的。 (4)出现询价通知书无效响应或无效报价规定的。 (5)明显不符合技术和服务要求的为无效响应。 (6)内容不全或关键字迹模糊、无法辨认的为无效响应。 2.3质疑与投诉 2.3.1质疑： 2.3.1.1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(1)对可以质疑的采购文件提出质疑的，为收到采购文件之日； (2)对采购过程提出质疑的，为各采购程序环节结束之日； (3)对成交结果提出质疑的，为成交结果公告期限届满之日。 2.3.1.2质疑函原件应采用下列方式提交：书面形式。 2.3.1.3接收质疑函的联系部门、联系电话和通讯地址。 (1)接收质疑函的联系部门：办公室； (2)接收质疑函的联系电话：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(3)接收质疑函的通讯地址：</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2.3.1.4质疑受理的其它要求： (1)在法定质疑期内质疑人须一次性提出针对同一采购程序环节的质疑，二（多）次质疑不予受理。 (2)质疑人递交质疑函时还应出具质疑人已在福建省政府采购网上公开信息系统上已对本项目进行报名的证明文件（须体现报名时间），否则将不被认定为潜在供应商，其质疑将不予受理。特别注意：询价通知书首次下载之日为质疑人在福建省政府采购网上公开信息系统成功报名之日。 2.3.1.5供应商对本项目询价通知书有任何疑议或不认同之处，需在法定时间内按规定提出质疑，否则视为供应商接受询价通知书的规定。 2.3.2投诉：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供应商投诉的事项不得超出已质疑事项的范围，但基于质疑答复内容提出的投诉事项除外。” 2.4供应商出现 《福建省财政厅关于电子化政府采购项目中视为串标情形认定与处理的指导意见》（闽财购〔2018〕30号）文中规定的视为串标情形的，其投标无效。 2.5鉴于福建省财政厅发布新修订的福建省政府采购货物和服务公开招标文件</w:t>
            </w:r>
            <w:r>
              <w:rPr>
                <w:rFonts w:hint="eastAsia" w:ascii="仿宋" w:hAnsi="仿宋" w:eastAsia="仿宋" w:cs="仿宋"/>
                <w:sz w:val="24"/>
                <w:szCs w:val="24"/>
                <w:lang w:eastAsia="zh-CN"/>
              </w:rPr>
              <w:t>等</w:t>
            </w:r>
            <w:r>
              <w:rPr>
                <w:rFonts w:hint="eastAsia" w:ascii="仿宋" w:hAnsi="仿宋" w:eastAsia="仿宋" w:cs="仿宋"/>
                <w:sz w:val="24"/>
                <w:szCs w:val="24"/>
              </w:rPr>
              <w:t>模板，全面取消政府采购投标纸质文件，本项目评审时以电子响应文件为准，询价小组不再审核纸质响应文件（采购文件中关于纸质响应文件规定与此处有冲突的以此处规定为准）。</w:t>
            </w:r>
          </w:p>
        </w:tc>
      </w:tr>
      <w:tr w14:paraId="680AE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09FFA32C">
            <w:pPr>
              <w:pStyle w:val="10"/>
              <w:jc w:val="left"/>
              <w:rPr>
                <w:rFonts w:hint="eastAsia" w:ascii="仿宋" w:hAnsi="仿宋" w:eastAsia="仿宋" w:cs="仿宋"/>
                <w:sz w:val="24"/>
                <w:szCs w:val="24"/>
              </w:rPr>
            </w:pPr>
            <w:r>
              <w:rPr>
                <w:rFonts w:hint="eastAsia" w:ascii="仿宋" w:hAnsi="仿宋" w:eastAsia="仿宋" w:cs="仿宋"/>
                <w:sz w:val="24"/>
                <w:szCs w:val="24"/>
              </w:rPr>
              <w:t>15</w:t>
            </w:r>
          </w:p>
        </w:tc>
        <w:tc>
          <w:tcPr>
            <w:tcW w:w="426" w:type="pct"/>
          </w:tcPr>
          <w:p w14:paraId="26324A65">
            <w:pPr>
              <w:rPr>
                <w:rFonts w:hint="eastAsia" w:ascii="仿宋" w:hAnsi="仿宋" w:eastAsia="仿宋" w:cs="仿宋"/>
                <w:sz w:val="24"/>
                <w:szCs w:val="24"/>
              </w:rPr>
            </w:pPr>
          </w:p>
        </w:tc>
        <w:tc>
          <w:tcPr>
            <w:tcW w:w="4345" w:type="pct"/>
          </w:tcPr>
          <w:p w14:paraId="668607BD">
            <w:pPr>
              <w:pStyle w:val="10"/>
              <w:jc w:val="left"/>
              <w:rPr>
                <w:rFonts w:hint="eastAsia" w:ascii="仿宋" w:hAnsi="仿宋" w:eastAsia="仿宋" w:cs="仿宋"/>
                <w:sz w:val="24"/>
                <w:szCs w:val="24"/>
              </w:rPr>
            </w:pPr>
            <w:r>
              <w:rPr>
                <w:rFonts w:hint="eastAsia" w:ascii="仿宋" w:hAnsi="仿宋" w:eastAsia="仿宋" w:cs="仿宋"/>
                <w:sz w:val="24"/>
                <w:szCs w:val="24"/>
              </w:rPr>
              <w:t>是否组织现场考察或召开开标前答疑会：</w:t>
            </w:r>
          </w:p>
          <w:p w14:paraId="2815A395">
            <w:pPr>
              <w:pStyle w:val="10"/>
              <w:jc w:val="left"/>
              <w:rPr>
                <w:rFonts w:hint="eastAsia" w:ascii="仿宋" w:hAnsi="仿宋" w:eastAsia="仿宋" w:cs="仿宋"/>
                <w:sz w:val="24"/>
                <w:szCs w:val="24"/>
              </w:rPr>
            </w:pPr>
            <w:r>
              <w:rPr>
                <w:rFonts w:hint="eastAsia" w:ascii="仿宋" w:hAnsi="仿宋" w:eastAsia="仿宋" w:cs="仿宋"/>
                <w:sz w:val="24"/>
                <w:szCs w:val="24"/>
              </w:rPr>
              <w:t>采购包1：不组织</w:t>
            </w:r>
          </w:p>
        </w:tc>
      </w:tr>
    </w:tbl>
    <w:p w14:paraId="77A71BF6">
      <w:pPr>
        <w:pStyle w:val="10"/>
        <w:jc w:val="center"/>
        <w:outlineLvl w:val="2"/>
      </w:pPr>
      <w:r>
        <w:rPr>
          <w:rFonts w:ascii="仿宋_GB2312" w:hAnsi="仿宋_GB2312" w:eastAsia="仿宋_GB2312" w:cs="仿宋_GB2312"/>
          <w:b/>
          <w:sz w:val="28"/>
        </w:rPr>
        <w:t>二、询价须知前附表2</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0"/>
        <w:gridCol w:w="9492"/>
      </w:tblGrid>
      <w:tr w14:paraId="4141F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1A1FFAC1">
            <w:pPr>
              <w:pStyle w:val="10"/>
              <w:jc w:val="left"/>
            </w:pPr>
            <w:r>
              <w:rPr>
                <w:rFonts w:ascii="仿宋_GB2312" w:hAnsi="仿宋_GB2312" w:eastAsia="仿宋_GB2312" w:cs="仿宋_GB2312"/>
              </w:rPr>
              <w:t>关于电子询价活动的专门规定</w:t>
            </w:r>
          </w:p>
        </w:tc>
      </w:tr>
      <w:tr w14:paraId="4339D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 w:type="pct"/>
          </w:tcPr>
          <w:p w14:paraId="6D83D998">
            <w:pPr>
              <w:pStyle w:val="10"/>
              <w:jc w:val="left"/>
            </w:pPr>
            <w:r>
              <w:rPr>
                <w:rFonts w:ascii="仿宋_GB2312" w:hAnsi="仿宋_GB2312" w:eastAsia="仿宋_GB2312" w:cs="仿宋_GB2312"/>
              </w:rPr>
              <w:t>序号</w:t>
            </w:r>
          </w:p>
        </w:tc>
        <w:tc>
          <w:tcPr>
            <w:tcW w:w="4763" w:type="pct"/>
          </w:tcPr>
          <w:p w14:paraId="0527FDB6">
            <w:pPr>
              <w:pStyle w:val="10"/>
              <w:jc w:val="left"/>
            </w:pPr>
            <w:r>
              <w:rPr>
                <w:rFonts w:ascii="仿宋_GB2312" w:hAnsi="仿宋_GB2312" w:eastAsia="仿宋_GB2312" w:cs="仿宋_GB2312"/>
              </w:rPr>
              <w:t>编列内容</w:t>
            </w:r>
          </w:p>
        </w:tc>
      </w:tr>
      <w:tr w14:paraId="2A8FF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 w:type="pct"/>
          </w:tcPr>
          <w:p w14:paraId="053AE4A7">
            <w:pPr>
              <w:pStyle w:val="10"/>
              <w:jc w:val="left"/>
            </w:pPr>
            <w:r>
              <w:rPr>
                <w:rFonts w:ascii="仿宋_GB2312" w:hAnsi="仿宋_GB2312" w:eastAsia="仿宋_GB2312" w:cs="仿宋_GB2312"/>
              </w:rPr>
              <w:t>1</w:t>
            </w:r>
          </w:p>
        </w:tc>
        <w:tc>
          <w:tcPr>
            <w:tcW w:w="4763" w:type="pct"/>
          </w:tcPr>
          <w:p w14:paraId="27A4423D">
            <w:pPr>
              <w:pStyle w:val="10"/>
              <w:jc w:val="left"/>
            </w:pPr>
            <w:r>
              <w:rPr>
                <w:rFonts w:ascii="仿宋_GB2312" w:hAnsi="仿宋_GB2312" w:eastAsia="仿宋_GB2312" w:cs="仿宋_GB2312"/>
              </w:rPr>
              <w:t>（1）电子询价活动的专门规定适用于本项目。</w:t>
            </w:r>
          </w:p>
          <w:p w14:paraId="1B684EC9">
            <w:pPr>
              <w:pStyle w:val="10"/>
              <w:jc w:val="left"/>
            </w:pPr>
            <w:r>
              <w:rPr>
                <w:rFonts w:ascii="仿宋_GB2312" w:hAnsi="仿宋_GB2312" w:eastAsia="仿宋_GB2312" w:cs="仿宋_GB2312"/>
              </w:rPr>
              <w:t>（2）将询价通知书的</w:t>
            </w:r>
          </w:p>
          <w:p w14:paraId="10163231">
            <w:pPr>
              <w:pStyle w:val="10"/>
              <w:jc w:val="left"/>
            </w:pPr>
            <w:r>
              <w:rPr>
                <w:rFonts w:ascii="仿宋_GB2312" w:hAnsi="仿宋_GB2312" w:eastAsia="仿宋_GB2312" w:cs="仿宋_GB2312"/>
              </w:rPr>
              <w:t>无 内容修正为下列内容：</w:t>
            </w:r>
          </w:p>
          <w:p w14:paraId="0C5B864A">
            <w:pPr>
              <w:pStyle w:val="10"/>
              <w:jc w:val="left"/>
            </w:pPr>
            <w:r>
              <w:rPr>
                <w:rFonts w:ascii="仿宋_GB2312" w:hAnsi="仿宋_GB2312" w:eastAsia="仿宋_GB2312" w:cs="仿宋_GB2312"/>
              </w:rPr>
              <w:t>无 后适用本项目的电子询价活动。</w:t>
            </w:r>
          </w:p>
          <w:p w14:paraId="54A06169">
            <w:pPr>
              <w:pStyle w:val="10"/>
              <w:jc w:val="left"/>
            </w:pPr>
            <w:r>
              <w:rPr>
                <w:rFonts w:ascii="仿宋_GB2312" w:hAnsi="仿宋_GB2312" w:eastAsia="仿宋_GB2312" w:cs="仿宋_GB2312"/>
              </w:rPr>
              <w:t>（3）将下列内容增列为询价通知书的组成部分（以下简称：“增列内容”）适用本项目的电子询价活动，若增列内容与询价通知书其他章节内容不一致，应以增列内容为准：</w:t>
            </w:r>
          </w:p>
          <w:p w14:paraId="1230FFE8">
            <w:pPr>
              <w:pStyle w:val="10"/>
              <w:jc w:val="left"/>
            </w:pPr>
            <w:r>
              <w:rPr>
                <w:rFonts w:ascii="仿宋_GB2312" w:hAnsi="仿宋_GB2312" w:eastAsia="仿宋_GB2312" w:cs="仿宋_GB2312"/>
              </w:rPr>
              <w:t>①电子询价活动的具体操作流程以福建省政府采购网上公开信息系统设定的为准。</w:t>
            </w:r>
          </w:p>
          <w:p w14:paraId="52248631">
            <w:pPr>
              <w:pStyle w:val="10"/>
              <w:jc w:val="left"/>
            </w:pPr>
            <w:r>
              <w:rPr>
                <w:rFonts w:ascii="仿宋_GB2312" w:hAnsi="仿宋_GB2312" w:eastAsia="仿宋_GB2312" w:cs="仿宋_GB2312"/>
              </w:rPr>
              <w:t>②供应商应在提交响应文件截止时间前按照福建省政府采购网上公开信息系统设定的操作流程将电子响应文件1份上传至福建省政府采购网上公开信息系统，电子响应文件应与纸质响应文件保持一致，并以电子响应文件为准。电子投标文件的投标（响应）报价明细表、纸质投标文件的投标（响应）报价明细表、投标客户端的投标（响应）报价明细表应保持一致，并以投标客户端的投标（响应）报价明细表为准。</w:t>
            </w:r>
          </w:p>
          <w:p w14:paraId="2D0C7B07">
            <w:pPr>
              <w:pStyle w:val="10"/>
              <w:jc w:val="left"/>
            </w:pPr>
            <w:r>
              <w:rPr>
                <w:rFonts w:ascii="仿宋_GB2312" w:hAnsi="仿宋_GB2312" w:eastAsia="仿宋_GB2312" w:cs="仿宋_GB2312"/>
              </w:rPr>
              <w:t>③若出现福建省政府采购网上公开信息系统设定的意外情形（如：系统故障等），经本项目监督管理部门同意使用纸质响应文件的，应以纸质响应文件为准。</w:t>
            </w:r>
          </w:p>
          <w:p w14:paraId="49A20EF6">
            <w:pPr>
              <w:pStyle w:val="10"/>
              <w:jc w:val="left"/>
            </w:pPr>
            <w:r>
              <w:rPr>
                <w:rFonts w:ascii="仿宋_GB2312" w:hAnsi="仿宋_GB2312" w:eastAsia="仿宋_GB2312" w:cs="仿宋_GB2312"/>
              </w:rPr>
              <w:t>④供应商应按照福建省政府采购网上公开信息系统设定的评审节点编制电子响应文件，否则询价小组将按照不利于供应商的内容进行认定。</w:t>
            </w:r>
          </w:p>
          <w:p w14:paraId="710CB366">
            <w:pPr>
              <w:pStyle w:val="10"/>
              <w:jc w:val="left"/>
            </w:pPr>
            <w:r>
              <w:rPr>
                <w:rFonts w:ascii="仿宋_GB2312" w:hAnsi="仿宋_GB2312" w:eastAsia="仿宋_GB2312" w:cs="仿宋_GB2312"/>
              </w:rPr>
              <w:t>⑤关于证明材料或资料：</w:t>
            </w:r>
          </w:p>
          <w:p w14:paraId="39DB44FE">
            <w:pPr>
              <w:pStyle w:val="10"/>
              <w:jc w:val="left"/>
            </w:pPr>
            <w:r>
              <w:rPr>
                <w:rFonts w:ascii="仿宋_GB2312" w:hAnsi="仿宋_GB2312" w:eastAsia="仿宋_GB2312" w:cs="仿宋_GB2312"/>
              </w:rPr>
              <w:t>a.询价通知书要求原件的，供应商在响应文件中可提供复印件（含扫描件），但同时应准备好原件备查（未能在规定时间内提供原件核查的，将按不利于供应商进行评审）；询价通知书要求复印件的，供应商在响应文件中提供原件、复印件（含扫描件）皆可；询价通知书对原件、复印件未作要求的，供应商在响应文件中提供原件、复印件（含扫描件）皆可。</w:t>
            </w:r>
          </w:p>
          <w:p w14:paraId="088E1828">
            <w:pPr>
              <w:pStyle w:val="10"/>
              <w:jc w:val="left"/>
            </w:pPr>
            <w:r>
              <w:rPr>
                <w:rFonts w:ascii="仿宋_GB2312" w:hAnsi="仿宋_GB2312" w:eastAsia="仿宋_GB2312" w:cs="仿宋_GB2312"/>
              </w:rPr>
              <w:t>b.若供应商提供注明“复印件无效”或“复印无效”的证明材料或资料，应结合上文a条款进行判定，若询价通知书未要求供应商提供原件，供应商提供原件、复印件（含扫描件）均视为满足询价通知书要求。</w:t>
            </w:r>
          </w:p>
          <w:p w14:paraId="0D86D887">
            <w:pPr>
              <w:pStyle w:val="10"/>
              <w:jc w:val="left"/>
            </w:pPr>
            <w:r>
              <w:rPr>
                <w:rFonts w:ascii="仿宋_GB2312" w:hAnsi="仿宋_GB2312" w:eastAsia="仿宋_GB2312" w:cs="仿宋_GB2312"/>
              </w:rPr>
              <w:t>⑥关于“全称”、“供应商代表签字”及“加盖单位公章”：</w:t>
            </w:r>
          </w:p>
          <w:p w14:paraId="62677E21">
            <w:pPr>
              <w:pStyle w:val="10"/>
              <w:jc w:val="left"/>
            </w:pPr>
            <w:r>
              <w:rPr>
                <w:rFonts w:ascii="仿宋_GB2312" w:hAnsi="仿宋_GB2312" w:eastAsia="仿宋_GB2312" w:cs="仿宋_GB2312"/>
              </w:rPr>
              <w:t>a.在电子响应文件中，涉及“全称”和“供应商代表签字”的内容可使用打字录入方式完成。</w:t>
            </w:r>
          </w:p>
          <w:p w14:paraId="6E1D91BB">
            <w:pPr>
              <w:pStyle w:val="10"/>
              <w:jc w:val="left"/>
            </w:pPr>
            <w:r>
              <w:rPr>
                <w:rFonts w:ascii="仿宋_GB2312" w:hAnsi="仿宋_GB2312" w:eastAsia="仿宋_GB2312" w:cs="仿宋_GB2312"/>
              </w:rPr>
              <w:t>b.在电子响应文件中，涉及“加盖单位公章”的内容应使用供应商的CA证书完成，否则报价无效。</w:t>
            </w:r>
          </w:p>
          <w:p w14:paraId="54854CE0">
            <w:pPr>
              <w:pStyle w:val="10"/>
              <w:jc w:val="left"/>
            </w:pPr>
            <w:r>
              <w:rPr>
                <w:rFonts w:ascii="仿宋_GB2312" w:hAnsi="仿宋_GB2312" w:eastAsia="仿宋_GB2312" w:cs="仿宋_GB2312"/>
              </w:rPr>
              <w:t>c.在电子响应文件中，若供应商按照本增列内容第⑥点第b项规定加盖其单位公章，则出现无全称、供应商代表未签字等情形，不视为报价无效。</w:t>
            </w:r>
          </w:p>
          <w:p w14:paraId="2332E1F2">
            <w:pPr>
              <w:pStyle w:val="10"/>
              <w:jc w:val="left"/>
            </w:pPr>
            <w:r>
              <w:rPr>
                <w:rFonts w:ascii="仿宋_GB2312" w:hAnsi="仿宋_GB2312" w:eastAsia="仿宋_GB2312" w:cs="仿宋_GB2312"/>
              </w:rPr>
              <w:t>⑦提交响应文件截止时间过后供应商有下列情形之一的，供应商的报价无效，其保证金不予退还或通过投标保函进行索赔：</w:t>
            </w:r>
          </w:p>
          <w:p w14:paraId="447294A1">
            <w:pPr>
              <w:pStyle w:val="10"/>
              <w:jc w:val="left"/>
            </w:pPr>
            <w:r>
              <w:rPr>
                <w:rFonts w:ascii="仿宋_GB2312" w:hAnsi="仿宋_GB2312" w:eastAsia="仿宋_GB2312" w:cs="仿宋_GB2312"/>
              </w:rPr>
              <w:t>a.不同供应商的电子响应文件具有相同内部识别码；</w:t>
            </w:r>
          </w:p>
          <w:p w14:paraId="594C3961">
            <w:pPr>
              <w:pStyle w:val="10"/>
              <w:jc w:val="left"/>
            </w:pPr>
            <w:r>
              <w:rPr>
                <w:rFonts w:ascii="仿宋_GB2312" w:hAnsi="仿宋_GB2312" w:eastAsia="仿宋_GB2312" w:cs="仿宋_GB2312"/>
              </w:rPr>
              <w:t>b.不同供应商的询价保证金从同一单位或个人的账户转出。</w:t>
            </w:r>
          </w:p>
          <w:p w14:paraId="33B3B615">
            <w:pPr>
              <w:pStyle w:val="10"/>
              <w:jc w:val="left"/>
            </w:pPr>
            <w:r>
              <w:rPr>
                <w:rFonts w:ascii="仿宋_GB2312" w:hAnsi="仿宋_GB2312" w:eastAsia="仿宋_GB2312" w:cs="仿宋_GB2312"/>
              </w:rPr>
              <w:t>c.供应商的询价保证金同一采购包下有其他供应商提交的询价保证金。</w:t>
            </w:r>
          </w:p>
          <w:p w14:paraId="5B303772">
            <w:pPr>
              <w:pStyle w:val="10"/>
              <w:jc w:val="left"/>
            </w:pPr>
            <w:r>
              <w:rPr>
                <w:rFonts w:ascii="仿宋_GB2312" w:hAnsi="仿宋_GB2312" w:eastAsia="仿宋_GB2312" w:cs="仿宋_GB2312"/>
              </w:rPr>
              <w:t>⑧接受联合体报价且供应商为联合体的，供应商应以“联合体牵头方”完成电子投标的有关操作（包括但不限于：询价通知书的获取、提交询价保证金、编制电子响应文件等）。</w:t>
            </w:r>
          </w:p>
          <w:p w14:paraId="68E26021">
            <w:pPr>
              <w:pStyle w:val="10"/>
              <w:jc w:val="left"/>
            </w:pPr>
            <w:r>
              <w:rPr>
                <w:rFonts w:ascii="仿宋_GB2312" w:hAnsi="仿宋_GB2312" w:eastAsia="仿宋_GB2312" w:cs="仿宋_GB2312"/>
              </w:rPr>
              <w:t>⑨参加报价会的供应商代表应携带供应商的CA证书，否则响应文件将被拒绝。供应商的CA证书应能正常、有效使用，否则产生不利后果由供应商承担责任。</w:t>
            </w:r>
          </w:p>
          <w:p w14:paraId="3F371FAB">
            <w:pPr>
              <w:pStyle w:val="10"/>
              <w:jc w:val="left"/>
            </w:pPr>
            <w:r>
              <w:rPr>
                <w:rFonts w:ascii="仿宋_GB2312" w:hAnsi="仿宋_GB2312" w:eastAsia="仿宋_GB2312" w:cs="仿宋_GB2312"/>
              </w:rPr>
              <w:t>⑩其他：</w:t>
            </w:r>
          </w:p>
          <w:p w14:paraId="5E89D31A">
            <w:pPr>
              <w:pStyle w:val="10"/>
              <w:jc w:val="left"/>
            </w:pPr>
            <w:r>
              <w:rPr>
                <w:rFonts w:ascii="仿宋_GB2312" w:hAnsi="仿宋_GB2312" w:eastAsia="仿宋_GB2312" w:cs="仿宋_GB2312"/>
              </w:rPr>
              <w:t>①本项目可使用远程开标（相关操作手册可查看福建省政府采购网首页操作指南）。通过远程参与开标流程的供应商，供应商可远程线上解密，现场参与开标流程的供应商请携带CA证书到开标现场进行解密，选择携带CA证书并由代理机构进行解密的应在响应文件递交截止时间前到达开标现场，否则不予接收。供应商选择远程线上解密的，无须将CA证书送至开标地点，应在开标时自行登录采购系统，线上参与开标流程，并按规定在相应时段对响应文件进行远程解密、远程签章。 ②供应商应确保自身设施、设备、网络环境状况良好，在操作过程中因供应商自身原因造成无法正常观看开标流程、远程解密或签章的，后果由供应商自行承担。因系统故障等导致无法继续进行的，供应商须配合等待故障处理，待故障解除后继续相关操作流程。 ③在规定的时间内正确提交电子响应文件的供应商在开标时将由系统判定签到情况，供应商应在远程解密开启后在规定时间内使用CA数字证书进行响应文件的解密操作，逾期未解密的视为自行放弃。 ④开标结束后，供应商应当对开标结果进行签章，并在远程签章开放后的规定时间内完成，逾期未签章的视为认同开标结果。 ⑤远程解密及远程签章的开放及操作时间均在开标过程中临时开启，远程解密环节的解密时限规定为</w:t>
            </w:r>
            <w:r>
              <w:rPr>
                <w:rFonts w:hint="eastAsia" w:ascii="仿宋_GB2312" w:hAnsi="仿宋_GB2312" w:eastAsia="仿宋_GB2312" w:cs="仿宋_GB2312"/>
                <w:lang w:val="en-US" w:eastAsia="zh-CN"/>
              </w:rPr>
              <w:t>30</w:t>
            </w:r>
            <w:r>
              <w:rPr>
                <w:rFonts w:ascii="仿宋_GB2312" w:hAnsi="仿宋_GB2312" w:eastAsia="仿宋_GB2312" w:cs="仿宋_GB2312"/>
              </w:rPr>
              <w:t>分钟，远程签章环节的签章时限规定为</w:t>
            </w:r>
            <w:r>
              <w:rPr>
                <w:rFonts w:hint="eastAsia" w:ascii="仿宋_GB2312" w:hAnsi="仿宋_GB2312" w:eastAsia="仿宋_GB2312" w:cs="仿宋_GB2312"/>
                <w:lang w:val="en-US" w:eastAsia="zh-CN"/>
              </w:rPr>
              <w:t>10</w:t>
            </w:r>
            <w:r>
              <w:rPr>
                <w:rFonts w:ascii="仿宋_GB2312" w:hAnsi="仿宋_GB2312" w:eastAsia="仿宋_GB2312" w:cs="仿宋_GB2312"/>
              </w:rPr>
              <w:t>分钟，请供应商务必密切关注实时开标流程，并根据流程在系统内按时操作，否则产生的后果由供应商自行承担。</w:t>
            </w:r>
          </w:p>
        </w:tc>
      </w:tr>
    </w:tbl>
    <w:p w14:paraId="5A7A46BA">
      <w:pPr>
        <w:pStyle w:val="10"/>
        <w:jc w:val="center"/>
        <w:outlineLvl w:val="2"/>
      </w:pPr>
      <w:r>
        <w:rPr>
          <w:rFonts w:ascii="仿宋_GB2312" w:hAnsi="仿宋_GB2312" w:eastAsia="仿宋_GB2312" w:cs="仿宋_GB2312"/>
          <w:b/>
          <w:sz w:val="28"/>
        </w:rPr>
        <w:t>第2节 询价须知正文</w:t>
      </w:r>
    </w:p>
    <w:p w14:paraId="5782D5E3">
      <w:pPr>
        <w:pStyle w:val="10"/>
        <w:jc w:val="center"/>
        <w:outlineLvl w:val="2"/>
      </w:pPr>
      <w:r>
        <w:rPr>
          <w:rFonts w:ascii="仿宋_GB2312" w:hAnsi="仿宋_GB2312" w:eastAsia="仿宋_GB2312" w:cs="仿宋_GB2312"/>
          <w:b/>
          <w:sz w:val="28"/>
        </w:rPr>
        <w:t>一、总则</w:t>
      </w:r>
    </w:p>
    <w:p w14:paraId="121E838C">
      <w:pPr>
        <w:pStyle w:val="10"/>
        <w:jc w:val="both"/>
      </w:pPr>
      <w:r>
        <w:rPr>
          <w:rFonts w:ascii="仿宋_GB2312" w:hAnsi="仿宋_GB2312" w:eastAsia="仿宋_GB2312" w:cs="仿宋_GB2312"/>
        </w:rPr>
        <w:t>1、适用范围</w:t>
      </w:r>
    </w:p>
    <w:p w14:paraId="1A9C6912">
      <w:pPr>
        <w:pStyle w:val="10"/>
        <w:ind w:firstLine="480"/>
        <w:jc w:val="both"/>
      </w:pPr>
      <w:r>
        <w:rPr>
          <w:rFonts w:ascii="仿宋_GB2312" w:hAnsi="仿宋_GB2312" w:eastAsia="仿宋_GB2312" w:cs="仿宋_GB2312"/>
        </w:rPr>
        <w:t>1.1适用于询价通知书载明项目的采购活动（以下简称：“本次采购活动”）。</w:t>
      </w:r>
    </w:p>
    <w:p w14:paraId="39FC8CB9">
      <w:pPr>
        <w:pStyle w:val="10"/>
        <w:jc w:val="both"/>
      </w:pPr>
      <w:r>
        <w:rPr>
          <w:rFonts w:ascii="仿宋_GB2312" w:hAnsi="仿宋_GB2312" w:eastAsia="仿宋_GB2312" w:cs="仿宋_GB2312"/>
        </w:rPr>
        <w:t>2、定义</w:t>
      </w:r>
    </w:p>
    <w:p w14:paraId="5FF79DAD">
      <w:pPr>
        <w:pStyle w:val="10"/>
        <w:ind w:firstLine="480"/>
        <w:jc w:val="both"/>
      </w:pPr>
      <w:r>
        <w:rPr>
          <w:rFonts w:ascii="仿宋_GB2312" w:hAnsi="仿宋_GB2312" w:eastAsia="仿宋_GB2312" w:cs="仿宋_GB2312"/>
        </w:rPr>
        <w:t>2.1“采购标的”指询价通知书载明的需要采购的货物。</w:t>
      </w:r>
    </w:p>
    <w:p w14:paraId="452185A9">
      <w:pPr>
        <w:pStyle w:val="10"/>
        <w:ind w:firstLine="480"/>
        <w:jc w:val="both"/>
      </w:pPr>
      <w:r>
        <w:rPr>
          <w:rFonts w:ascii="仿宋_GB2312" w:hAnsi="仿宋_GB2312" w:eastAsia="仿宋_GB2312" w:cs="仿宋_GB2312"/>
        </w:rPr>
        <w:t>2.2“采购人”系指本次采购项目的业主方；“采购代理机构”系指接受采购人委托，组织开展采购活动的代理机构。。</w:t>
      </w:r>
    </w:p>
    <w:p w14:paraId="3C017D13">
      <w:pPr>
        <w:pStyle w:val="10"/>
        <w:ind w:firstLine="480"/>
        <w:jc w:val="both"/>
      </w:pPr>
      <w:r>
        <w:rPr>
          <w:rFonts w:ascii="仿宋_GB2312" w:hAnsi="仿宋_GB2312" w:eastAsia="仿宋_GB2312" w:cs="仿宋_GB2312"/>
        </w:rPr>
        <w:t>2.3“潜在供应商”指按照询价通知书第一章第6条规定进行获取询价通知书且有意向参加本项目询价的供应商。</w:t>
      </w:r>
    </w:p>
    <w:p w14:paraId="210D3DC1">
      <w:pPr>
        <w:pStyle w:val="10"/>
        <w:ind w:firstLine="480"/>
        <w:jc w:val="both"/>
      </w:pPr>
      <w:r>
        <w:rPr>
          <w:rFonts w:ascii="仿宋_GB2312" w:hAnsi="仿宋_GB2312" w:eastAsia="仿宋_GB2312" w:cs="仿宋_GB2312"/>
        </w:rPr>
        <w:t>2.4“供应商”指按照询价通知书第一章第6条规定进行获取询价通知书并参加本项目询价的供应商。</w:t>
      </w:r>
    </w:p>
    <w:p w14:paraId="5B995B97">
      <w:pPr>
        <w:pStyle w:val="10"/>
        <w:ind w:firstLine="480"/>
        <w:jc w:val="both"/>
      </w:pPr>
      <w:r>
        <w:rPr>
          <w:rFonts w:ascii="仿宋_GB2312" w:hAnsi="仿宋_GB2312" w:eastAsia="仿宋_GB2312" w:cs="仿宋_GB2312"/>
        </w:rPr>
        <w:t>2.5“单位负责人”指单位法定代表人（供应商为法人的）或法律、法规规定代表单位行使职权的主要负责人（供应商为其他组织的）。</w:t>
      </w:r>
    </w:p>
    <w:p w14:paraId="61E37535">
      <w:pPr>
        <w:pStyle w:val="10"/>
        <w:ind w:firstLine="480"/>
        <w:jc w:val="both"/>
      </w:pPr>
      <w:r>
        <w:rPr>
          <w:rFonts w:ascii="仿宋_GB2312" w:hAnsi="仿宋_GB2312" w:eastAsia="仿宋_GB2312" w:cs="仿宋_GB2312"/>
        </w:rPr>
        <w:t>2.6“供应商代表”指供应商（供应商为法人或其他组织的）的单位负责人或由其授权的委托代理人，即单位负责人授权书中载明的接受授权方。</w:t>
      </w:r>
    </w:p>
    <w:p w14:paraId="65063E70">
      <w:pPr>
        <w:pStyle w:val="10"/>
        <w:jc w:val="center"/>
        <w:outlineLvl w:val="2"/>
      </w:pPr>
      <w:r>
        <w:rPr>
          <w:rFonts w:ascii="仿宋_GB2312" w:hAnsi="仿宋_GB2312" w:eastAsia="仿宋_GB2312" w:cs="仿宋_GB2312"/>
          <w:b/>
          <w:sz w:val="28"/>
        </w:rPr>
        <w:t>二、供应商</w:t>
      </w:r>
    </w:p>
    <w:p w14:paraId="4B92FABF">
      <w:pPr>
        <w:pStyle w:val="10"/>
        <w:jc w:val="both"/>
      </w:pPr>
      <w:r>
        <w:rPr>
          <w:rFonts w:ascii="仿宋_GB2312" w:hAnsi="仿宋_GB2312" w:eastAsia="仿宋_GB2312" w:cs="仿宋_GB2312"/>
        </w:rPr>
        <w:t>3、合格供应商</w:t>
      </w:r>
    </w:p>
    <w:p w14:paraId="319686D2">
      <w:pPr>
        <w:pStyle w:val="10"/>
        <w:ind w:firstLine="480"/>
        <w:jc w:val="both"/>
      </w:pPr>
      <w:r>
        <w:rPr>
          <w:rFonts w:ascii="仿宋_GB2312" w:hAnsi="仿宋_GB2312" w:eastAsia="仿宋_GB2312" w:cs="仿宋_GB2312"/>
        </w:rPr>
        <w:t>3.1一般规定</w:t>
      </w:r>
    </w:p>
    <w:p w14:paraId="7544200C">
      <w:pPr>
        <w:pStyle w:val="10"/>
        <w:jc w:val="both"/>
      </w:pPr>
      <w:r>
        <w:rPr>
          <w:rFonts w:ascii="仿宋_GB2312" w:hAnsi="仿宋_GB2312" w:eastAsia="仿宋_GB2312" w:cs="仿宋_GB2312"/>
        </w:rPr>
        <w:t>（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31B84E9E">
      <w:pPr>
        <w:pStyle w:val="10"/>
        <w:ind w:firstLine="480"/>
        <w:jc w:val="left"/>
      </w:pPr>
      <w:r>
        <w:rPr>
          <w:rFonts w:ascii="仿宋_GB2312" w:hAnsi="仿宋_GB2312" w:eastAsia="仿宋_GB2312" w:cs="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1D2C368">
      <w:pPr>
        <w:pStyle w:val="10"/>
        <w:jc w:val="both"/>
      </w:pPr>
      <w:r>
        <w:rPr>
          <w:rFonts w:ascii="仿宋_GB2312" w:hAnsi="仿宋_GB2312" w:eastAsia="仿宋_GB2312" w:cs="仿宋_GB2312"/>
        </w:rPr>
        <w:t>（2）供应商的资格要求：详见询价通知书第一章。有任一项不满足的，报价无效。</w:t>
      </w:r>
    </w:p>
    <w:p w14:paraId="028BCF40">
      <w:pPr>
        <w:pStyle w:val="10"/>
        <w:jc w:val="both"/>
      </w:pPr>
      <w:r>
        <w:rPr>
          <w:rFonts w:ascii="仿宋_GB2312" w:hAnsi="仿宋_GB2312" w:eastAsia="仿宋_GB2312" w:cs="仿宋_GB2312"/>
        </w:rPr>
        <w:t>3.2若本项目接受联合体报价且供应商为联合体，则联合体各方除了应遵守本章第3.1条规定外，还应遵守下列规定：</w:t>
      </w:r>
    </w:p>
    <w:p w14:paraId="635078DD">
      <w:pPr>
        <w:pStyle w:val="10"/>
        <w:jc w:val="both"/>
      </w:pPr>
      <w:r>
        <w:rPr>
          <w:rFonts w:ascii="仿宋_GB2312" w:hAnsi="仿宋_GB2312" w:eastAsia="仿宋_GB2312" w:cs="仿宋_GB2312"/>
        </w:rPr>
        <w:t>（1）联合体各方应提交联合体协议，联合体协议应符合询价通知书规定。</w:t>
      </w:r>
    </w:p>
    <w:p w14:paraId="796B2414">
      <w:pPr>
        <w:pStyle w:val="10"/>
        <w:jc w:val="both"/>
      </w:pPr>
      <w:r>
        <w:rPr>
          <w:rFonts w:ascii="仿宋_GB2312" w:hAnsi="仿宋_GB2312" w:eastAsia="仿宋_GB2312" w:cs="仿宋_GB2312"/>
        </w:rPr>
        <w:t>（2）联合体各方不得再单独参加或与其他供应商另外组成联合体参加同一合同项下的询价。</w:t>
      </w:r>
    </w:p>
    <w:p w14:paraId="55DC3936">
      <w:pPr>
        <w:pStyle w:val="10"/>
        <w:jc w:val="both"/>
      </w:pPr>
      <w:r>
        <w:rPr>
          <w:rFonts w:ascii="仿宋_GB2312" w:hAnsi="仿宋_GB2312" w:eastAsia="仿宋_GB2312" w:cs="仿宋_GB2312"/>
        </w:rPr>
        <w:t>（3）联合体各方应共同与采购人签订政府采购合同，就政府采购合同约定的事项对采购人承担连带责任。</w:t>
      </w:r>
    </w:p>
    <w:p w14:paraId="244F1860">
      <w:pPr>
        <w:pStyle w:val="10"/>
        <w:jc w:val="left"/>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72D0000">
      <w:pPr>
        <w:pStyle w:val="10"/>
        <w:jc w:val="left"/>
      </w:pPr>
      <w:r>
        <w:rPr>
          <w:rFonts w:ascii="仿宋_GB2312" w:hAnsi="仿宋_GB2312" w:eastAsia="仿宋_GB2312" w:cs="仿宋_GB2312"/>
        </w:rPr>
        <w:t>（5）联合体一方放弃成交的，视为联合体整体放弃成交，联合体各方承担连带责任。</w:t>
      </w:r>
    </w:p>
    <w:p w14:paraId="79044865">
      <w:pPr>
        <w:pStyle w:val="10"/>
        <w:jc w:val="left"/>
      </w:pPr>
      <w:r>
        <w:rPr>
          <w:rFonts w:ascii="仿宋_GB2312" w:hAnsi="仿宋_GB2312" w:eastAsia="仿宋_GB2312" w:cs="仿宋_GB2312"/>
        </w:rPr>
        <w:t>（6）如本项目不接受联合体报价而供应商为联合体的，或者本项目接受联合体报价但供应商组成的联合体不符合本章第3.2条规定的，其报价无效。</w:t>
      </w:r>
    </w:p>
    <w:p w14:paraId="33B33813">
      <w:pPr>
        <w:pStyle w:val="10"/>
        <w:jc w:val="both"/>
      </w:pPr>
      <w:r>
        <w:rPr>
          <w:rFonts w:ascii="仿宋_GB2312" w:hAnsi="仿宋_GB2312" w:eastAsia="仿宋_GB2312" w:cs="仿宋_GB2312"/>
        </w:rPr>
        <w:t>3.3 单位负责人为同一人或存在直接控股、管理关系的不同供应商不得参加同一合同项下的询价。</w:t>
      </w:r>
    </w:p>
    <w:p w14:paraId="5C4B43A8">
      <w:pPr>
        <w:pStyle w:val="10"/>
        <w:jc w:val="both"/>
      </w:pPr>
      <w:r>
        <w:rPr>
          <w:rFonts w:ascii="仿宋_GB2312" w:hAnsi="仿宋_GB2312" w:eastAsia="仿宋_GB2312" w:cs="仿宋_GB2312"/>
        </w:rPr>
        <w:t>4、询价费用</w:t>
      </w:r>
    </w:p>
    <w:p w14:paraId="3F10F652">
      <w:pPr>
        <w:pStyle w:val="10"/>
        <w:jc w:val="both"/>
      </w:pPr>
      <w:r>
        <w:rPr>
          <w:rFonts w:ascii="仿宋_GB2312" w:hAnsi="仿宋_GB2312" w:eastAsia="仿宋_GB2312" w:cs="仿宋_GB2312"/>
        </w:rPr>
        <w:t>4.1除询价通知书另有规定外，供应商应自行承担其参加本项目询价所涉及的一切费用。</w:t>
      </w:r>
    </w:p>
    <w:p w14:paraId="33FE6CF4">
      <w:pPr>
        <w:pStyle w:val="10"/>
        <w:jc w:val="center"/>
        <w:outlineLvl w:val="2"/>
      </w:pPr>
      <w:r>
        <w:rPr>
          <w:rFonts w:ascii="仿宋_GB2312" w:hAnsi="仿宋_GB2312" w:eastAsia="仿宋_GB2312" w:cs="仿宋_GB2312"/>
          <w:b/>
          <w:sz w:val="28"/>
        </w:rPr>
        <w:t>三、询价通知书</w:t>
      </w:r>
    </w:p>
    <w:p w14:paraId="73C699B2">
      <w:pPr>
        <w:pStyle w:val="10"/>
        <w:jc w:val="both"/>
      </w:pPr>
      <w:r>
        <w:rPr>
          <w:rFonts w:ascii="仿宋_GB2312" w:hAnsi="仿宋_GB2312" w:eastAsia="仿宋_GB2312" w:cs="仿宋_GB2312"/>
        </w:rPr>
        <w:t>5、询价通知书的组成</w:t>
      </w:r>
    </w:p>
    <w:p w14:paraId="51637EAD">
      <w:pPr>
        <w:pStyle w:val="10"/>
        <w:ind w:firstLine="480"/>
        <w:jc w:val="both"/>
      </w:pPr>
      <w:r>
        <w:rPr>
          <w:rFonts w:ascii="仿宋_GB2312" w:hAnsi="仿宋_GB2312" w:eastAsia="仿宋_GB2312" w:cs="仿宋_GB2312"/>
        </w:rPr>
        <w:t>5.1询价通知书由下述部分组成：</w:t>
      </w:r>
    </w:p>
    <w:p w14:paraId="31300542">
      <w:pPr>
        <w:pStyle w:val="10"/>
        <w:ind w:firstLine="960"/>
        <w:jc w:val="both"/>
      </w:pPr>
      <w:r>
        <w:rPr>
          <w:rFonts w:ascii="仿宋_GB2312" w:hAnsi="仿宋_GB2312" w:eastAsia="仿宋_GB2312" w:cs="仿宋_GB2312"/>
        </w:rPr>
        <w:t>第一章 询价邀请/询价采购通知书</w:t>
      </w:r>
    </w:p>
    <w:p w14:paraId="1DAC33F0">
      <w:pPr>
        <w:pStyle w:val="10"/>
        <w:ind w:firstLine="960"/>
        <w:jc w:val="both"/>
      </w:pPr>
      <w:r>
        <w:rPr>
          <w:rFonts w:ascii="仿宋_GB2312" w:hAnsi="仿宋_GB2312" w:eastAsia="仿宋_GB2312" w:cs="仿宋_GB2312"/>
        </w:rPr>
        <w:t>第二章询价须知</w:t>
      </w:r>
    </w:p>
    <w:p w14:paraId="1D7282E9">
      <w:pPr>
        <w:pStyle w:val="10"/>
        <w:ind w:firstLine="960"/>
        <w:jc w:val="both"/>
      </w:pPr>
      <w:r>
        <w:rPr>
          <w:rFonts w:ascii="仿宋_GB2312" w:hAnsi="仿宋_GB2312" w:eastAsia="仿宋_GB2312" w:cs="仿宋_GB2312"/>
        </w:rPr>
        <w:t>第三章评审</w:t>
      </w:r>
    </w:p>
    <w:p w14:paraId="63922216">
      <w:pPr>
        <w:pStyle w:val="10"/>
        <w:ind w:firstLine="960"/>
        <w:jc w:val="both"/>
      </w:pPr>
      <w:r>
        <w:rPr>
          <w:rFonts w:ascii="仿宋_GB2312" w:hAnsi="仿宋_GB2312" w:eastAsia="仿宋_GB2312" w:cs="仿宋_GB2312"/>
        </w:rPr>
        <w:t>第四章询价内容及要求</w:t>
      </w:r>
    </w:p>
    <w:p w14:paraId="7FB3BC17">
      <w:pPr>
        <w:pStyle w:val="10"/>
        <w:ind w:firstLine="960"/>
        <w:jc w:val="both"/>
      </w:pPr>
      <w:r>
        <w:rPr>
          <w:rFonts w:ascii="仿宋_GB2312" w:hAnsi="仿宋_GB2312" w:eastAsia="仿宋_GB2312" w:cs="仿宋_GB2312"/>
        </w:rPr>
        <w:t>第五章政府采购合同</w:t>
      </w:r>
    </w:p>
    <w:p w14:paraId="25C08AE7">
      <w:pPr>
        <w:pStyle w:val="10"/>
        <w:ind w:firstLine="960"/>
        <w:jc w:val="both"/>
      </w:pPr>
      <w:r>
        <w:rPr>
          <w:rFonts w:ascii="仿宋_GB2312" w:hAnsi="仿宋_GB2312" w:eastAsia="仿宋_GB2312" w:cs="仿宋_GB2312"/>
        </w:rPr>
        <w:t>第六章响应文件格式</w:t>
      </w:r>
    </w:p>
    <w:p w14:paraId="42680494">
      <w:pPr>
        <w:pStyle w:val="10"/>
        <w:ind w:firstLine="960"/>
        <w:jc w:val="both"/>
      </w:pPr>
      <w:r>
        <w:rPr>
          <w:rFonts w:ascii="仿宋_GB2312" w:hAnsi="仿宋_GB2312" w:eastAsia="仿宋_GB2312" w:cs="仿宋_GB2312"/>
        </w:rPr>
        <w:t>5.2询价通知书的澄清或修改</w:t>
      </w:r>
    </w:p>
    <w:p w14:paraId="16FA2744">
      <w:pPr>
        <w:pStyle w:val="10"/>
        <w:ind w:firstLine="480"/>
        <w:jc w:val="both"/>
      </w:pPr>
      <w:r>
        <w:rPr>
          <w:rFonts w:ascii="仿宋_GB2312" w:hAnsi="仿宋_GB2312" w:eastAsia="仿宋_GB2312" w:cs="仿宋_GB2312"/>
        </w:rPr>
        <w:t>（1）采购代理机构可对已发出的询价通知书进行必要的澄清或修改。</w:t>
      </w:r>
    </w:p>
    <w:p w14:paraId="638E4857">
      <w:pPr>
        <w:pStyle w:val="10"/>
        <w:ind w:firstLine="480"/>
        <w:jc w:val="both"/>
      </w:pPr>
      <w:r>
        <w:rPr>
          <w:rFonts w:ascii="仿宋_GB2312" w:hAnsi="仿宋_GB2312" w:eastAsia="仿宋_GB2312" w:cs="仿宋_GB2312"/>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14:paraId="1796923B">
      <w:pPr>
        <w:pStyle w:val="10"/>
        <w:jc w:val="both"/>
      </w:pPr>
      <w:r>
        <w:rPr>
          <w:rFonts w:ascii="仿宋_GB2312" w:hAnsi="仿宋_GB2312" w:eastAsia="仿宋_GB2312" w:cs="仿宋_GB2312"/>
        </w:rPr>
        <w:t>6、更正公告</w:t>
      </w:r>
    </w:p>
    <w:p w14:paraId="7277D4EE">
      <w:pPr>
        <w:pStyle w:val="10"/>
        <w:ind w:firstLine="480"/>
        <w:jc w:val="both"/>
      </w:pPr>
      <w:r>
        <w:rPr>
          <w:rFonts w:ascii="仿宋_GB2312" w:hAnsi="仿宋_GB2312" w:eastAsia="仿宋_GB2312" w:cs="仿宋_GB2312"/>
        </w:rPr>
        <w:t>6.1若采购代理机构发布更正公告，则更正公告及其所发布的内容或信息（包括但不限于询价通知书的澄清或修改等）作为询价通知书组成部分，对供应商具有约束力。</w:t>
      </w:r>
    </w:p>
    <w:p w14:paraId="5CD5D735">
      <w:pPr>
        <w:pStyle w:val="10"/>
        <w:ind w:firstLine="480"/>
        <w:jc w:val="both"/>
      </w:pPr>
      <w:r>
        <w:rPr>
          <w:rFonts w:ascii="仿宋_GB2312" w:hAnsi="仿宋_GB2312" w:eastAsia="仿宋_GB2312" w:cs="仿宋_GB2312"/>
        </w:rPr>
        <w:t>6.2更正公告作为采购代理机构通知所有潜在供应商的书面形式，潜在供应商务必随时关注询价通知书载明的指定媒体，以免遗漏。</w:t>
      </w:r>
    </w:p>
    <w:p w14:paraId="6ADDB09E">
      <w:pPr>
        <w:pStyle w:val="10"/>
        <w:jc w:val="center"/>
        <w:outlineLvl w:val="2"/>
      </w:pPr>
      <w:r>
        <w:rPr>
          <w:rFonts w:ascii="仿宋_GB2312" w:hAnsi="仿宋_GB2312" w:eastAsia="仿宋_GB2312" w:cs="仿宋_GB2312"/>
          <w:b/>
          <w:sz w:val="28"/>
        </w:rPr>
        <w:t>四、报价响应文件的编制</w:t>
      </w:r>
    </w:p>
    <w:p w14:paraId="76F92DAB">
      <w:pPr>
        <w:pStyle w:val="10"/>
        <w:jc w:val="both"/>
      </w:pPr>
      <w:r>
        <w:rPr>
          <w:rFonts w:ascii="仿宋_GB2312" w:hAnsi="仿宋_GB2312" w:eastAsia="仿宋_GB2312" w:cs="仿宋_GB2312"/>
        </w:rPr>
        <w:t>7、报价要求</w:t>
      </w:r>
    </w:p>
    <w:p w14:paraId="3B823576">
      <w:pPr>
        <w:pStyle w:val="10"/>
        <w:ind w:firstLine="480"/>
        <w:jc w:val="both"/>
      </w:pPr>
      <w:r>
        <w:rPr>
          <w:rFonts w:ascii="仿宋_GB2312" w:hAnsi="仿宋_GB2312" w:eastAsia="仿宋_GB2312" w:cs="仿宋_GB2312"/>
        </w:rPr>
        <w:t>7.1供应商可对询价通知书载明的全部或部分采购包进行报价。</w:t>
      </w:r>
    </w:p>
    <w:p w14:paraId="3C1F0B2D">
      <w:pPr>
        <w:pStyle w:val="10"/>
        <w:ind w:firstLine="480"/>
        <w:jc w:val="both"/>
      </w:pPr>
      <w:r>
        <w:rPr>
          <w:rFonts w:ascii="仿宋_GB2312" w:hAnsi="仿宋_GB2312" w:eastAsia="仿宋_GB2312" w:cs="仿宋_GB2312"/>
        </w:rPr>
        <w:t>7.2下列情形之一供应商报价无效</w:t>
      </w:r>
    </w:p>
    <w:p w14:paraId="759DE601">
      <w:pPr>
        <w:pStyle w:val="10"/>
        <w:ind w:firstLine="480"/>
        <w:jc w:val="both"/>
      </w:pPr>
      <w:r>
        <w:rPr>
          <w:rFonts w:ascii="仿宋_GB2312" w:hAnsi="仿宋_GB2312" w:eastAsia="仿宋_GB2312" w:cs="仿宋_GB2312"/>
        </w:rPr>
        <w:t>（1）报价时，同一个采购包内所有品目号的内容应完整，否则报价无效。</w:t>
      </w:r>
    </w:p>
    <w:p w14:paraId="73281B9D">
      <w:pPr>
        <w:pStyle w:val="10"/>
        <w:ind w:firstLine="480"/>
        <w:jc w:val="both"/>
      </w:pPr>
      <w:r>
        <w:rPr>
          <w:rFonts w:ascii="仿宋_GB2312" w:hAnsi="仿宋_GB2312" w:eastAsia="仿宋_GB2312" w:cs="仿宋_GB2312"/>
        </w:rPr>
        <w:t>（2）供应商代表只能接受一个供应商的授权参加报价，否则报价无效。</w:t>
      </w:r>
    </w:p>
    <w:p w14:paraId="299168EB">
      <w:pPr>
        <w:pStyle w:val="10"/>
        <w:ind w:firstLine="480"/>
        <w:jc w:val="both"/>
      </w:pPr>
      <w:r>
        <w:rPr>
          <w:rFonts w:ascii="仿宋_GB2312" w:hAnsi="仿宋_GB2312" w:eastAsia="仿宋_GB2312" w:cs="仿宋_GB2312"/>
        </w:rPr>
        <w:t>（3）单位负责人为同一人或存在直接控股、管理关系的不同供应商，不得同时参加同一合同项下的报价，否则报价无效。</w:t>
      </w:r>
    </w:p>
    <w:p w14:paraId="668F07E8">
      <w:pPr>
        <w:pStyle w:val="10"/>
        <w:ind w:firstLine="480"/>
        <w:jc w:val="both"/>
      </w:pPr>
      <w:r>
        <w:rPr>
          <w:rFonts w:ascii="仿宋_GB2312" w:hAnsi="仿宋_GB2312" w:eastAsia="仿宋_GB2312" w:cs="仿宋_GB2312"/>
        </w:rPr>
        <w:t>（4）为本项目提供整体设计、规范编制或项目管理、监理、检测等服务的供应商，不得参加本项目除整体设计、规范编制和项目管理、监理、检测等服务之外的采购活动，否则报价无效。</w:t>
      </w:r>
    </w:p>
    <w:p w14:paraId="52981224">
      <w:pPr>
        <w:pStyle w:val="10"/>
        <w:ind w:firstLine="480"/>
        <w:jc w:val="both"/>
      </w:pPr>
      <w:r>
        <w:rPr>
          <w:rFonts w:ascii="仿宋_GB2312" w:hAnsi="仿宋_GB2312" w:eastAsia="仿宋_GB2312" w:cs="仿宋_GB2312"/>
        </w:rPr>
        <w:t>（5）列入失信被执行人、重大税收违法案件当事人名单、政府采购严重违法失信行为记录名单及其他不符合《中华人民共和国政府采购法》第二十二条规定条件的供应商，不得参加报价，否则报价无效。</w:t>
      </w:r>
    </w:p>
    <w:p w14:paraId="03B2CD98">
      <w:pPr>
        <w:pStyle w:val="10"/>
        <w:ind w:firstLine="480"/>
        <w:jc w:val="both"/>
      </w:pPr>
      <w:r>
        <w:rPr>
          <w:rFonts w:ascii="仿宋_GB2312" w:hAnsi="仿宋_GB2312" w:eastAsia="仿宋_GB2312" w:cs="仿宋_GB2312"/>
        </w:rPr>
        <w:t>（6）报价超出最高限价将导致报价无效。</w:t>
      </w:r>
    </w:p>
    <w:p w14:paraId="2778CFC0">
      <w:pPr>
        <w:pStyle w:val="10"/>
        <w:ind w:firstLine="480"/>
        <w:jc w:val="both"/>
      </w:pPr>
      <w:r>
        <w:rPr>
          <w:rFonts w:ascii="仿宋_GB2312" w:hAnsi="仿宋_GB2312" w:eastAsia="仿宋_GB2312" w:cs="仿宋_GB2312"/>
        </w:rPr>
        <w:t>（7）除询价通知书另有规定外，响应文件不能出现任何选择性的报价，即每一个采购包和品目号的采购标的都只能有一个报价。任何选择性的报价将导致报价无效。</w:t>
      </w:r>
    </w:p>
    <w:p w14:paraId="5F3A067C">
      <w:pPr>
        <w:pStyle w:val="10"/>
        <w:jc w:val="both"/>
      </w:pPr>
      <w:r>
        <w:rPr>
          <w:rFonts w:ascii="仿宋_GB2312" w:hAnsi="仿宋_GB2312" w:eastAsia="仿宋_GB2312" w:cs="仿宋_GB2312"/>
        </w:rPr>
        <w:t>8供应商有下列情形之一的，视为相互恶意串通投标：</w:t>
      </w:r>
    </w:p>
    <w:p w14:paraId="437EE00F">
      <w:pPr>
        <w:pStyle w:val="10"/>
        <w:ind w:firstLine="480"/>
        <w:jc w:val="both"/>
      </w:pPr>
      <w:r>
        <w:rPr>
          <w:rFonts w:ascii="仿宋_GB2312" w:hAnsi="仿宋_GB2312" w:eastAsia="仿宋_GB2312" w:cs="仿宋_GB2312"/>
        </w:rPr>
        <w:t>（1）不同供应商的响应文件由同一单位或个人编制；</w:t>
      </w:r>
    </w:p>
    <w:p w14:paraId="0CD607D2">
      <w:pPr>
        <w:pStyle w:val="10"/>
        <w:ind w:firstLine="480"/>
        <w:jc w:val="both"/>
      </w:pPr>
      <w:r>
        <w:rPr>
          <w:rFonts w:ascii="仿宋_GB2312" w:hAnsi="仿宋_GB2312" w:eastAsia="仿宋_GB2312" w:cs="仿宋_GB2312"/>
        </w:rPr>
        <w:t>（2）不同供应商委托同一单位或个人办理投标事宜；</w:t>
      </w:r>
    </w:p>
    <w:p w14:paraId="438B7626">
      <w:pPr>
        <w:pStyle w:val="10"/>
        <w:ind w:firstLine="480"/>
        <w:jc w:val="both"/>
      </w:pPr>
      <w:r>
        <w:rPr>
          <w:rFonts w:ascii="仿宋_GB2312" w:hAnsi="仿宋_GB2312" w:eastAsia="仿宋_GB2312" w:cs="仿宋_GB2312"/>
        </w:rPr>
        <w:t>（3）不同供应商的响应文件载明的项目管理成员为同一人；</w:t>
      </w:r>
    </w:p>
    <w:p w14:paraId="4D91D92B">
      <w:pPr>
        <w:pStyle w:val="10"/>
        <w:ind w:firstLine="480"/>
        <w:jc w:val="both"/>
      </w:pPr>
      <w:r>
        <w:rPr>
          <w:rFonts w:ascii="仿宋_GB2312" w:hAnsi="仿宋_GB2312" w:eastAsia="仿宋_GB2312" w:cs="仿宋_GB2312"/>
        </w:rPr>
        <w:t>（4）不同供应商的响应文件异常一致或报价呈规律性差异；</w:t>
      </w:r>
    </w:p>
    <w:p w14:paraId="0E62A88B">
      <w:pPr>
        <w:pStyle w:val="10"/>
        <w:ind w:firstLine="480"/>
        <w:jc w:val="both"/>
      </w:pPr>
      <w:r>
        <w:rPr>
          <w:rFonts w:ascii="仿宋_GB2312" w:hAnsi="仿宋_GB2312" w:eastAsia="仿宋_GB2312" w:cs="仿宋_GB2312"/>
        </w:rPr>
        <w:t>（5）不同供应商的响应文件相互混装；</w:t>
      </w:r>
    </w:p>
    <w:p w14:paraId="1D22CCDE">
      <w:pPr>
        <w:pStyle w:val="10"/>
        <w:ind w:firstLine="480"/>
        <w:jc w:val="both"/>
      </w:pPr>
      <w:r>
        <w:rPr>
          <w:rFonts w:ascii="仿宋_GB2312" w:hAnsi="仿宋_GB2312" w:eastAsia="仿宋_GB2312" w:cs="仿宋_GB2312"/>
        </w:rPr>
        <w:t>（6）不同供应商的询价保证金从同一单位或个人的账户转出；</w:t>
      </w:r>
    </w:p>
    <w:p w14:paraId="45C00370">
      <w:pPr>
        <w:pStyle w:val="10"/>
        <w:ind w:firstLine="480"/>
        <w:jc w:val="both"/>
      </w:pPr>
      <w:r>
        <w:rPr>
          <w:rFonts w:ascii="仿宋_GB2312" w:hAnsi="仿宋_GB2312" w:eastAsia="仿宋_GB2312" w:cs="仿宋_GB2312"/>
        </w:rPr>
        <w:t>（7）有关法律、法规和规章规定的其他串通投标情形。</w:t>
      </w:r>
    </w:p>
    <w:p w14:paraId="61B4119B">
      <w:pPr>
        <w:pStyle w:val="10"/>
        <w:jc w:val="both"/>
      </w:pPr>
      <w:r>
        <w:rPr>
          <w:rFonts w:ascii="仿宋_GB2312" w:hAnsi="仿宋_GB2312" w:eastAsia="仿宋_GB2312" w:cs="仿宋_GB2312"/>
        </w:rPr>
        <w:t>9、编制要求</w:t>
      </w:r>
    </w:p>
    <w:p w14:paraId="74FE2A18">
      <w:pPr>
        <w:pStyle w:val="10"/>
        <w:ind w:firstLine="480"/>
        <w:jc w:val="both"/>
      </w:pPr>
      <w:r>
        <w:rPr>
          <w:rFonts w:ascii="仿宋_GB2312" w:hAnsi="仿宋_GB2312" w:eastAsia="仿宋_GB2312" w:cs="仿宋_GB2312"/>
        </w:rPr>
        <w:t>9.1响应文件的编制</w:t>
      </w:r>
    </w:p>
    <w:p w14:paraId="3AE974FA">
      <w:pPr>
        <w:pStyle w:val="10"/>
        <w:ind w:firstLine="480"/>
        <w:jc w:val="both"/>
      </w:pPr>
      <w:r>
        <w:rPr>
          <w:rFonts w:ascii="仿宋_GB2312" w:hAnsi="仿宋_GB2312" w:eastAsia="仿宋_GB2312" w:cs="仿宋_GB2312"/>
        </w:rPr>
        <w:t>（1）供应商应先仔细阅读询价通知书的全部内容后，再进行响应文件的编制。</w:t>
      </w:r>
    </w:p>
    <w:p w14:paraId="36F31586">
      <w:pPr>
        <w:pStyle w:val="10"/>
        <w:ind w:firstLine="480"/>
        <w:jc w:val="both"/>
      </w:pPr>
      <w:r>
        <w:rPr>
          <w:rFonts w:ascii="仿宋_GB2312" w:hAnsi="仿宋_GB2312" w:eastAsia="仿宋_GB2312" w:cs="仿宋_GB2312"/>
        </w:rPr>
        <w:t>（2）响应文件应按照本章第9.2条规定编制其组成部分。</w:t>
      </w:r>
    </w:p>
    <w:p w14:paraId="4D6AA662">
      <w:pPr>
        <w:pStyle w:val="10"/>
        <w:ind w:firstLine="480"/>
        <w:jc w:val="both"/>
      </w:pPr>
      <w:r>
        <w:rPr>
          <w:rFonts w:ascii="仿宋_GB2312" w:hAnsi="仿宋_GB2312" w:eastAsia="仿宋_GB2312" w:cs="仿宋_GB2312"/>
        </w:rPr>
        <w:t>（3）响应文件应满足询价通知书提出的实质性要求和条件，并保证其所提交的全部资料是不可割离且真实、合法、有效、准确、完整和不具有任何误导性的，否则造成不利后果由供应商承担法律责任。</w:t>
      </w:r>
    </w:p>
    <w:p w14:paraId="2B3CD319">
      <w:pPr>
        <w:pStyle w:val="10"/>
        <w:ind w:firstLine="480"/>
        <w:jc w:val="both"/>
      </w:pPr>
      <w:r>
        <w:rPr>
          <w:rFonts w:ascii="仿宋_GB2312" w:hAnsi="仿宋_GB2312" w:eastAsia="仿宋_GB2312" w:cs="仿宋_GB2312"/>
        </w:rPr>
        <w:t>9.2响应文件由下述部分组成,但不限于下列内容：</w:t>
      </w:r>
    </w:p>
    <w:p w14:paraId="27141B5A">
      <w:pPr>
        <w:pStyle w:val="10"/>
        <w:ind w:firstLine="480"/>
        <w:jc w:val="both"/>
      </w:pPr>
      <w:r>
        <w:rPr>
          <w:rFonts w:ascii="仿宋_GB2312" w:hAnsi="仿宋_GB2312" w:eastAsia="仿宋_GB2312" w:cs="仿宋_GB2312"/>
        </w:rPr>
        <w:t>（1）询价响应声明</w:t>
      </w:r>
    </w:p>
    <w:p w14:paraId="13909B37">
      <w:pPr>
        <w:pStyle w:val="10"/>
        <w:ind w:firstLine="480"/>
        <w:jc w:val="both"/>
      </w:pPr>
      <w:r>
        <w:rPr>
          <w:rFonts w:ascii="仿宋_GB2312" w:hAnsi="仿宋_GB2312" w:eastAsia="仿宋_GB2312" w:cs="仿宋_GB2312"/>
        </w:rPr>
        <w:t>（2）开标（报价）一览表</w:t>
      </w:r>
    </w:p>
    <w:p w14:paraId="53F7F544">
      <w:pPr>
        <w:pStyle w:val="10"/>
        <w:ind w:firstLine="480"/>
        <w:jc w:val="both"/>
      </w:pPr>
      <w:r>
        <w:rPr>
          <w:rFonts w:ascii="仿宋_GB2312" w:hAnsi="仿宋_GB2312" w:eastAsia="仿宋_GB2312" w:cs="仿宋_GB2312"/>
        </w:rPr>
        <w:t>（3）投标（响应）报价明细表</w:t>
      </w:r>
    </w:p>
    <w:p w14:paraId="762DD11D">
      <w:pPr>
        <w:pStyle w:val="10"/>
        <w:ind w:firstLine="480"/>
        <w:jc w:val="both"/>
      </w:pPr>
      <w:r>
        <w:rPr>
          <w:rFonts w:ascii="仿宋_GB2312" w:hAnsi="仿宋_GB2312" w:eastAsia="仿宋_GB2312" w:cs="仿宋_GB2312"/>
        </w:rPr>
        <w:t>（4）技术和服务要求响应表</w:t>
      </w:r>
    </w:p>
    <w:p w14:paraId="1A3259A5">
      <w:pPr>
        <w:pStyle w:val="10"/>
        <w:ind w:firstLine="480"/>
        <w:jc w:val="both"/>
      </w:pPr>
      <w:r>
        <w:rPr>
          <w:rFonts w:ascii="仿宋_GB2312" w:hAnsi="仿宋_GB2312" w:eastAsia="仿宋_GB2312" w:cs="仿宋_GB2312"/>
        </w:rPr>
        <w:t>（5）商务条件响应表</w:t>
      </w:r>
    </w:p>
    <w:p w14:paraId="454CB68F">
      <w:pPr>
        <w:pStyle w:val="10"/>
        <w:ind w:firstLine="480"/>
        <w:jc w:val="both"/>
      </w:pPr>
      <w:r>
        <w:rPr>
          <w:rFonts w:ascii="仿宋_GB2312" w:hAnsi="仿宋_GB2312" w:eastAsia="仿宋_GB2312" w:cs="仿宋_GB2312"/>
        </w:rPr>
        <w:t>（6）供应商的资格及资信证明文件</w:t>
      </w:r>
    </w:p>
    <w:p w14:paraId="4F8C836B">
      <w:pPr>
        <w:pStyle w:val="10"/>
        <w:ind w:firstLine="480"/>
        <w:jc w:val="both"/>
      </w:pPr>
      <w:r>
        <w:rPr>
          <w:rFonts w:ascii="仿宋_GB2312" w:hAnsi="仿宋_GB2312" w:eastAsia="仿宋_GB2312" w:cs="仿宋_GB2312"/>
        </w:rPr>
        <w:t>（7）询价保证金</w:t>
      </w:r>
    </w:p>
    <w:p w14:paraId="13D676C9">
      <w:pPr>
        <w:pStyle w:val="10"/>
        <w:ind w:firstLine="480"/>
        <w:jc w:val="both"/>
      </w:pPr>
      <w:r>
        <w:rPr>
          <w:rFonts w:ascii="仿宋_GB2312" w:hAnsi="仿宋_GB2312" w:eastAsia="仿宋_GB2312" w:cs="仿宋_GB2312"/>
        </w:rPr>
        <w:t>（8）供应商提交的其他资料（若有）</w:t>
      </w:r>
    </w:p>
    <w:p w14:paraId="1B1A5A82">
      <w:pPr>
        <w:pStyle w:val="10"/>
        <w:ind w:firstLine="480"/>
        <w:jc w:val="both"/>
      </w:pPr>
      <w:r>
        <w:rPr>
          <w:rFonts w:ascii="仿宋_GB2312" w:hAnsi="仿宋_GB2312" w:eastAsia="仿宋_GB2312" w:cs="仿宋_GB2312"/>
        </w:rPr>
        <w:t>（9）按照询价通知书规定作为响应文件组成部分的其他内容（若有）</w:t>
      </w:r>
    </w:p>
    <w:p w14:paraId="6B7EA354">
      <w:pPr>
        <w:pStyle w:val="10"/>
        <w:ind w:firstLine="480"/>
        <w:jc w:val="both"/>
      </w:pPr>
      <w:r>
        <w:rPr>
          <w:rFonts w:ascii="仿宋_GB2312" w:hAnsi="仿宋_GB2312" w:eastAsia="仿宋_GB2312" w:cs="仿宋_GB2312"/>
        </w:rPr>
        <w:t>9.3响应文件的语言</w:t>
      </w:r>
    </w:p>
    <w:p w14:paraId="6D61E66C">
      <w:pPr>
        <w:pStyle w:val="10"/>
        <w:ind w:firstLine="480"/>
        <w:jc w:val="both"/>
      </w:pPr>
      <w:r>
        <w:rPr>
          <w:rFonts w:ascii="仿宋_GB2312" w:hAnsi="仿宋_GB2312" w:eastAsia="仿宋_GB2312" w:cs="仿宋_GB2312"/>
        </w:rPr>
        <w:t>（1）除询价通知书另有规定外，响应文件应使用中文文本，若有不同文本，以中文文本为准。</w:t>
      </w:r>
    </w:p>
    <w:p w14:paraId="57B0AABE">
      <w:pPr>
        <w:pStyle w:val="10"/>
        <w:ind w:firstLine="480"/>
        <w:jc w:val="both"/>
      </w:pPr>
      <w:r>
        <w:rPr>
          <w:rFonts w:ascii="仿宋_GB2312" w:hAnsi="仿宋_GB2312" w:eastAsia="仿宋_GB2312" w:cs="仿宋_GB2312"/>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D10FDBB">
      <w:pPr>
        <w:pStyle w:val="10"/>
        <w:ind w:firstLine="480"/>
        <w:jc w:val="both"/>
      </w:pPr>
      <w:r>
        <w:rPr>
          <w:rFonts w:ascii="仿宋_GB2312" w:hAnsi="仿宋_GB2312" w:eastAsia="仿宋_GB2312" w:cs="仿宋_GB2312"/>
        </w:rPr>
        <w:t>9.4响应文件的份数：详见询价通知书第二章。</w:t>
      </w:r>
    </w:p>
    <w:p w14:paraId="74FD266C">
      <w:pPr>
        <w:pStyle w:val="10"/>
        <w:ind w:firstLine="480"/>
        <w:jc w:val="both"/>
      </w:pPr>
      <w:r>
        <w:rPr>
          <w:rFonts w:ascii="仿宋_GB2312" w:hAnsi="仿宋_GB2312" w:eastAsia="仿宋_GB2312" w:cs="仿宋_GB2312"/>
        </w:rPr>
        <w:t>9.5响应文件的格式</w:t>
      </w:r>
    </w:p>
    <w:p w14:paraId="5570428D">
      <w:pPr>
        <w:pStyle w:val="10"/>
        <w:ind w:firstLine="480"/>
        <w:jc w:val="both"/>
      </w:pPr>
      <w:r>
        <w:rPr>
          <w:rFonts w:ascii="仿宋_GB2312" w:hAnsi="仿宋_GB2312" w:eastAsia="仿宋_GB2312" w:cs="仿宋_GB2312"/>
        </w:rPr>
        <w:t>（1）除询价通知书另有规定外，响应文件应使用询价通知书第六章规定的格式。</w:t>
      </w:r>
    </w:p>
    <w:p w14:paraId="2EDEFCE5">
      <w:pPr>
        <w:pStyle w:val="10"/>
        <w:ind w:firstLine="480"/>
        <w:jc w:val="both"/>
      </w:pPr>
      <w:r>
        <w:rPr>
          <w:rFonts w:ascii="仿宋_GB2312" w:hAnsi="仿宋_GB2312" w:eastAsia="仿宋_GB2312" w:cs="仿宋_GB2312"/>
        </w:rPr>
        <w:t>（2）除询价通知书另有规定外，响应文件的正本和全部副本均应使用不能擦去的墨料或墨水打印、书写或复印，其中：</w:t>
      </w:r>
    </w:p>
    <w:p w14:paraId="51448D01">
      <w:pPr>
        <w:pStyle w:val="10"/>
        <w:ind w:firstLine="480"/>
        <w:jc w:val="both"/>
      </w:pPr>
      <w:r>
        <w:rPr>
          <w:rFonts w:ascii="仿宋_GB2312" w:hAnsi="仿宋_GB2312" w:eastAsia="仿宋_GB2312" w:cs="仿宋_GB2312"/>
        </w:rPr>
        <w:t>①正本应用A4幅面纸张打印装订，编制封面（封面标明“正本”字样）、索引、页码，并用胶装装订成册。</w:t>
      </w:r>
    </w:p>
    <w:p w14:paraId="7007170F">
      <w:pPr>
        <w:pStyle w:val="10"/>
        <w:ind w:firstLine="480"/>
        <w:jc w:val="both"/>
      </w:pPr>
      <w:r>
        <w:rPr>
          <w:rFonts w:ascii="仿宋_GB2312" w:hAnsi="仿宋_GB2312" w:eastAsia="仿宋_GB2312" w:cs="仿宋_GB2312"/>
        </w:rPr>
        <w:t>②副本应用A4幅面纸张打印装订，编制封面（封面标明“副本”字样）、索引、页码，并用胶装装订成册；副本可用正本的完整复印件，并与正本保持一致（若不一致，以正本为准）。</w:t>
      </w:r>
    </w:p>
    <w:p w14:paraId="1D055E6E">
      <w:pPr>
        <w:pStyle w:val="10"/>
        <w:ind w:firstLine="480"/>
        <w:jc w:val="both"/>
      </w:pPr>
      <w:r>
        <w:rPr>
          <w:rFonts w:ascii="仿宋_GB2312" w:hAnsi="仿宋_GB2312" w:eastAsia="仿宋_GB2312" w:cs="仿宋_GB2312"/>
        </w:rPr>
        <w:t>③允许散装或活页装订的内容或材料：详见询价通知书第二章。</w:t>
      </w:r>
    </w:p>
    <w:p w14:paraId="03A5CE1C">
      <w:pPr>
        <w:pStyle w:val="10"/>
        <w:ind w:firstLine="480"/>
        <w:jc w:val="both"/>
      </w:pPr>
      <w:r>
        <w:rPr>
          <w:rFonts w:ascii="仿宋_GB2312" w:hAnsi="仿宋_GB2312" w:eastAsia="仿宋_GB2312" w:cs="仿宋_GB2312"/>
        </w:rPr>
        <w:t>※除本章第9.5条第（2）款第③点规定情形之外，响应文件散装或活页装订将导致报价无效。</w:t>
      </w:r>
    </w:p>
    <w:p w14:paraId="323BAACF">
      <w:pPr>
        <w:pStyle w:val="10"/>
        <w:ind w:firstLine="480"/>
        <w:jc w:val="both"/>
      </w:pPr>
      <w:r>
        <w:rPr>
          <w:rFonts w:ascii="仿宋_GB2312" w:hAnsi="仿宋_GB2312" w:eastAsia="仿宋_GB2312" w:cs="仿宋_GB2312"/>
        </w:rPr>
        <w:t>（3）除询价通知书另有规定外，响应文件应使用人民币作为计量货币，计量单位应使用我国法定计量单位。</w:t>
      </w:r>
    </w:p>
    <w:p w14:paraId="086EEB74">
      <w:pPr>
        <w:pStyle w:val="10"/>
        <w:ind w:firstLine="480"/>
        <w:jc w:val="both"/>
      </w:pPr>
      <w:r>
        <w:rPr>
          <w:rFonts w:ascii="仿宋_GB2312" w:hAnsi="仿宋_GB2312" w:eastAsia="仿宋_GB2312" w:cs="仿宋_GB2312"/>
        </w:rPr>
        <w:t>（4）响应文件应由供应商代表签字并加盖供应商的单位公章。若供应商代表为单位负责人授权的委托代理人，应提供“单位负责人授权书”。</w:t>
      </w:r>
    </w:p>
    <w:p w14:paraId="7EDBDFFA">
      <w:pPr>
        <w:pStyle w:val="10"/>
        <w:ind w:firstLine="480"/>
        <w:jc w:val="both"/>
      </w:pPr>
      <w:r>
        <w:rPr>
          <w:rFonts w:ascii="仿宋_GB2312" w:hAnsi="仿宋_GB2312" w:eastAsia="仿宋_GB2312" w:cs="仿宋_GB2312"/>
        </w:rPr>
        <w:t>（5）响应文件应没有涂改或行间插字，除非这些改动是根据采购方的指示进行的，或是为改正供应商造成的应修改的错误而进行的。若有前述改动，应按照下列规定之一对改动处进行处理：</w:t>
      </w:r>
    </w:p>
    <w:p w14:paraId="6B18D2A1">
      <w:pPr>
        <w:pStyle w:val="10"/>
        <w:ind w:firstLine="480"/>
        <w:jc w:val="both"/>
      </w:pPr>
      <w:r>
        <w:rPr>
          <w:rFonts w:ascii="仿宋_GB2312" w:hAnsi="仿宋_GB2312" w:eastAsia="仿宋_GB2312" w:cs="仿宋_GB2312"/>
        </w:rPr>
        <w:t>①供应商代表签字确认；</w:t>
      </w:r>
    </w:p>
    <w:p w14:paraId="0D268A32">
      <w:pPr>
        <w:pStyle w:val="10"/>
        <w:ind w:firstLine="480"/>
        <w:jc w:val="both"/>
      </w:pPr>
      <w:r>
        <w:rPr>
          <w:rFonts w:ascii="仿宋_GB2312" w:hAnsi="仿宋_GB2312" w:eastAsia="仿宋_GB2312" w:cs="仿宋_GB2312"/>
        </w:rPr>
        <w:t>②加盖供应商的单位公章或校正章。</w:t>
      </w:r>
    </w:p>
    <w:p w14:paraId="3384F180">
      <w:pPr>
        <w:pStyle w:val="10"/>
        <w:ind w:firstLine="480"/>
        <w:jc w:val="both"/>
      </w:pPr>
      <w:r>
        <w:rPr>
          <w:rFonts w:ascii="仿宋_GB2312" w:hAnsi="仿宋_GB2312" w:eastAsia="仿宋_GB2312" w:cs="仿宋_GB2312"/>
        </w:rPr>
        <w:t>9.6分包</w:t>
      </w:r>
    </w:p>
    <w:p w14:paraId="7E0F662B">
      <w:pPr>
        <w:pStyle w:val="10"/>
        <w:ind w:firstLine="480"/>
        <w:jc w:val="both"/>
      </w:pPr>
      <w:r>
        <w:rPr>
          <w:rFonts w:ascii="仿宋_GB2312" w:hAnsi="仿宋_GB2312" w:eastAsia="仿宋_GB2312" w:cs="仿宋_GB2312"/>
        </w:rPr>
        <w:t>（1）是否允许成交人进行分包：详见询价通知书第二章。</w:t>
      </w:r>
    </w:p>
    <w:p w14:paraId="585E5DA6">
      <w:pPr>
        <w:pStyle w:val="10"/>
        <w:ind w:firstLine="480"/>
        <w:jc w:val="both"/>
      </w:pPr>
      <w:r>
        <w:rPr>
          <w:rFonts w:ascii="仿宋_GB2312" w:hAnsi="仿宋_GB2312" w:eastAsia="仿宋_GB2312" w:cs="仿宋_GB2312"/>
        </w:rPr>
        <w:t>（2）若允许成交人进行分包且供应商拟在成交后进行分包，则供应商应在响应文件中载明关于非主体、非关键性工作分包及分包人资质条件的说明，否则视为不进行分包。</w:t>
      </w:r>
    </w:p>
    <w:p w14:paraId="522ED910">
      <w:pPr>
        <w:pStyle w:val="10"/>
        <w:ind w:firstLine="480"/>
        <w:jc w:val="both"/>
      </w:pPr>
      <w:r>
        <w:rPr>
          <w:rFonts w:ascii="仿宋_GB2312" w:hAnsi="仿宋_GB2312" w:eastAsia="仿宋_GB2312" w:cs="仿宋_GB2312"/>
        </w:rPr>
        <w:t>（3）享受中小企业扶持政策获得政府采购合同的，小微企业不得将合同分包给大中型企业，中型企业不得将合同分包给大型企业。</w:t>
      </w:r>
    </w:p>
    <w:p w14:paraId="05C45D6C">
      <w:pPr>
        <w:pStyle w:val="10"/>
        <w:ind w:firstLine="480"/>
        <w:jc w:val="both"/>
      </w:pPr>
      <w:r>
        <w:rPr>
          <w:rFonts w:ascii="仿宋_GB2312" w:hAnsi="仿宋_GB2312" w:eastAsia="仿宋_GB2312" w:cs="仿宋_GB2312"/>
        </w:rPr>
        <w:t>9.7响应有效期</w:t>
      </w:r>
    </w:p>
    <w:p w14:paraId="65D15597">
      <w:pPr>
        <w:pStyle w:val="10"/>
        <w:ind w:firstLine="480"/>
        <w:jc w:val="both"/>
      </w:pPr>
      <w:r>
        <w:rPr>
          <w:rFonts w:ascii="仿宋_GB2312" w:hAnsi="仿宋_GB2312" w:eastAsia="仿宋_GB2312" w:cs="仿宋_GB2312"/>
        </w:rPr>
        <w:t>（1）询价通知书载明的响应有效期：详见询价通知书第二章。</w:t>
      </w:r>
    </w:p>
    <w:p w14:paraId="0AE3C2A2">
      <w:pPr>
        <w:pStyle w:val="10"/>
        <w:ind w:firstLine="480"/>
        <w:jc w:val="both"/>
      </w:pPr>
      <w:r>
        <w:rPr>
          <w:rFonts w:ascii="仿宋_GB2312" w:hAnsi="仿宋_GB2312" w:eastAsia="仿宋_GB2312" w:cs="仿宋_GB2312"/>
        </w:rPr>
        <w:t>（2）响应文件承诺的响应有效期不得少于询价通知书载明的响应有效期，否则报价无效。</w:t>
      </w:r>
    </w:p>
    <w:p w14:paraId="2C53F967">
      <w:pPr>
        <w:pStyle w:val="10"/>
        <w:ind w:firstLine="480"/>
        <w:jc w:val="both"/>
      </w:pPr>
      <w:r>
        <w:rPr>
          <w:rFonts w:ascii="仿宋_GB2312" w:hAnsi="仿宋_GB2312" w:eastAsia="仿宋_GB2312" w:cs="仿宋_GB2312"/>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1C9DDB94">
      <w:pPr>
        <w:pStyle w:val="10"/>
        <w:ind w:firstLine="480"/>
        <w:jc w:val="both"/>
      </w:pPr>
      <w:r>
        <w:rPr>
          <w:rFonts w:ascii="仿宋_GB2312" w:hAnsi="仿宋_GB2312" w:eastAsia="仿宋_GB2312" w:cs="仿宋_GB2312"/>
        </w:rPr>
        <w:t>9.8询价保证金</w:t>
      </w:r>
    </w:p>
    <w:p w14:paraId="1F517C02">
      <w:pPr>
        <w:pStyle w:val="10"/>
        <w:ind w:firstLine="480"/>
        <w:jc w:val="both"/>
      </w:pPr>
      <w:r>
        <w:rPr>
          <w:rFonts w:ascii="仿宋_GB2312" w:hAnsi="仿宋_GB2312" w:eastAsia="仿宋_GB2312" w:cs="仿宋_GB2312"/>
        </w:rPr>
        <w:t>（1）询价保证金作为供应商按照询价通知书要求履行相应报价义务的约束及担保。</w:t>
      </w:r>
    </w:p>
    <w:p w14:paraId="4C2A80ED">
      <w:pPr>
        <w:pStyle w:val="10"/>
        <w:ind w:firstLine="480"/>
        <w:jc w:val="both"/>
      </w:pPr>
      <w:r>
        <w:rPr>
          <w:rFonts w:ascii="仿宋_GB2312" w:hAnsi="仿宋_GB2312" w:eastAsia="仿宋_GB2312" w:cs="仿宋_GB2312"/>
        </w:rPr>
        <w:t>（2）供应商以电子保函形式提交询价保证金的，保函的有效期应等于或长于响应文件承诺的报价有效期，否则响应无效。</w:t>
      </w:r>
    </w:p>
    <w:p w14:paraId="18C4565F">
      <w:pPr>
        <w:pStyle w:val="10"/>
        <w:ind w:firstLine="480"/>
        <w:jc w:val="both"/>
      </w:pPr>
      <w:r>
        <w:rPr>
          <w:rFonts w:ascii="仿宋_GB2312" w:hAnsi="仿宋_GB2312" w:eastAsia="仿宋_GB2312" w:cs="仿宋_GB2312"/>
        </w:rPr>
        <w:t>（3）提交</w:t>
      </w:r>
    </w:p>
    <w:p w14:paraId="5B7778E7">
      <w:pPr>
        <w:pStyle w:val="10"/>
        <w:ind w:firstLine="480"/>
        <w:jc w:val="both"/>
      </w:pPr>
      <w:r>
        <w:rPr>
          <w:rFonts w:ascii="仿宋_GB2312" w:hAnsi="仿宋_GB2312" w:eastAsia="仿宋_GB2312" w:cs="仿宋_GB2312"/>
        </w:rPr>
        <w:t>①供应商以汇款形式缴纳询价保证金的，应从其银行账户（基本户）按照下列方式：银行公对公转账向询价通知书载明的询价保证金账户提交询价保证金，具体金额详见询价通知书第一章。</w:t>
      </w:r>
    </w:p>
    <w:p w14:paraId="4D005FBE">
      <w:pPr>
        <w:pStyle w:val="10"/>
        <w:ind w:firstLine="480"/>
        <w:jc w:val="both"/>
      </w:pPr>
      <w:r>
        <w:rPr>
          <w:rFonts w:ascii="仿宋_GB2312" w:hAnsi="仿宋_GB2312" w:eastAsia="仿宋_GB2312" w:cs="仿宋_GB2312"/>
        </w:rPr>
        <w:t>②供应商以电子保函形式提交询价保证金的，可在询价通知书载明的响应截止时间前通过福建省政府采购平台“保函服务”栏目办理电子保函并在电汇或银行转账单上注明（项目编号）；在响应截止时间之前将电子保函文件放入响应文件中，否则视为未提交询价保证金。</w:t>
      </w:r>
    </w:p>
    <w:p w14:paraId="59BFF0E2">
      <w:pPr>
        <w:pStyle w:val="10"/>
        <w:ind w:firstLine="480"/>
        <w:jc w:val="left"/>
      </w:pPr>
      <w:r>
        <w:rPr>
          <w:rFonts w:ascii="仿宋_GB2312" w:hAnsi="仿宋_GB2312" w:eastAsia="仿宋_GB2312" w:cs="仿宋_GB2312"/>
        </w:rPr>
        <w:t>③其他方式： 无</w:t>
      </w:r>
    </w:p>
    <w:p w14:paraId="6908D242">
      <w:pPr>
        <w:pStyle w:val="10"/>
        <w:ind w:firstLine="480"/>
        <w:jc w:val="both"/>
      </w:pPr>
      <w:r>
        <w:rPr>
          <w:rFonts w:ascii="仿宋_GB2312" w:hAnsi="仿宋_GB2312" w:eastAsia="仿宋_GB2312" w:cs="仿宋_GB2312"/>
        </w:rPr>
        <w:t>④若本项目接受联合体询价且供应商为联合体，则联合体应按照本款第①、②、③点规定提交询价保证金。</w:t>
      </w:r>
    </w:p>
    <w:p w14:paraId="478B47F4">
      <w:pPr>
        <w:pStyle w:val="10"/>
        <w:ind w:firstLine="480"/>
        <w:jc w:val="both"/>
      </w:pPr>
      <w:r>
        <w:rPr>
          <w:rFonts w:ascii="仿宋_GB2312" w:hAnsi="仿宋_GB2312" w:eastAsia="仿宋_GB2312" w:cs="仿宋_GB2312"/>
        </w:rPr>
        <w:t>※未按照上述规定提交询价保证金将导致报价无效。</w:t>
      </w:r>
    </w:p>
    <w:p w14:paraId="1680ADC3">
      <w:pPr>
        <w:pStyle w:val="10"/>
        <w:ind w:firstLine="480"/>
        <w:jc w:val="both"/>
      </w:pPr>
      <w:r>
        <w:rPr>
          <w:rFonts w:ascii="仿宋_GB2312" w:hAnsi="仿宋_GB2312" w:eastAsia="仿宋_GB2312" w:cs="仿宋_GB2312"/>
        </w:rPr>
        <w:t>（4）退还</w:t>
      </w:r>
    </w:p>
    <w:p w14:paraId="3DE08A9D">
      <w:pPr>
        <w:pStyle w:val="10"/>
        <w:ind w:firstLine="480"/>
        <w:jc w:val="both"/>
      </w:pPr>
      <w:r>
        <w:rPr>
          <w:rFonts w:ascii="仿宋_GB2312" w:hAnsi="仿宋_GB2312" w:eastAsia="仿宋_GB2312" w:cs="仿宋_GB2312"/>
        </w:rPr>
        <w:t>①未成交人的询价保证金将在成交通知书发出之日起5个工作日内退回原账户。</w:t>
      </w:r>
    </w:p>
    <w:p w14:paraId="6E7FEC46">
      <w:pPr>
        <w:pStyle w:val="10"/>
        <w:ind w:firstLine="480"/>
        <w:jc w:val="both"/>
      </w:pPr>
      <w:r>
        <w:rPr>
          <w:rFonts w:ascii="仿宋_GB2312" w:hAnsi="仿宋_GB2312" w:eastAsia="仿宋_GB2312" w:cs="仿宋_GB2312"/>
        </w:rPr>
        <w:t>②成交人的询价保证金将在政府采购合同签订之日起5个工作日内退回原账户。</w:t>
      </w:r>
    </w:p>
    <w:p w14:paraId="75B8960D">
      <w:pPr>
        <w:pStyle w:val="10"/>
        <w:ind w:firstLine="480"/>
        <w:jc w:val="both"/>
      </w:pPr>
      <w:r>
        <w:rPr>
          <w:rFonts w:ascii="仿宋_GB2312" w:hAnsi="仿宋_GB2312" w:eastAsia="仿宋_GB2312" w:cs="仿宋_GB2312"/>
        </w:rPr>
        <w:t>③质疑或投诉涉及的供应商，若询价保证金尚未退还，则待质疑或投诉处理完毕后不计利息原额退还。</w:t>
      </w:r>
    </w:p>
    <w:p w14:paraId="14DCC634">
      <w:pPr>
        <w:pStyle w:val="10"/>
        <w:ind w:firstLine="480"/>
        <w:jc w:val="both"/>
      </w:pPr>
      <w:r>
        <w:rPr>
          <w:rFonts w:ascii="仿宋_GB2312" w:hAnsi="仿宋_GB2312" w:eastAsia="仿宋_GB2312" w:cs="仿宋_GB2312"/>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14:paraId="15575033">
      <w:pPr>
        <w:pStyle w:val="10"/>
        <w:ind w:firstLine="480"/>
        <w:jc w:val="both"/>
      </w:pPr>
      <w:r>
        <w:rPr>
          <w:rFonts w:ascii="仿宋_GB2312" w:hAnsi="仿宋_GB2312" w:eastAsia="仿宋_GB2312" w:cs="仿宋_GB2312"/>
        </w:rPr>
        <w:t>（6）有下列情形之一的，询价保证金将不予退还或通过保函进行索赔：</w:t>
      </w:r>
    </w:p>
    <w:p w14:paraId="32F4F1EA">
      <w:pPr>
        <w:pStyle w:val="10"/>
        <w:ind w:firstLine="480"/>
        <w:jc w:val="both"/>
      </w:pPr>
      <w:r>
        <w:rPr>
          <w:rFonts w:ascii="仿宋_GB2312" w:hAnsi="仿宋_GB2312" w:eastAsia="仿宋_GB2312" w:cs="仿宋_GB2312"/>
        </w:rPr>
        <w:t>①供应商恶意串通投标的；</w:t>
      </w:r>
    </w:p>
    <w:p w14:paraId="6C93895F">
      <w:pPr>
        <w:pStyle w:val="10"/>
        <w:ind w:firstLine="480"/>
        <w:jc w:val="both"/>
      </w:pPr>
      <w:r>
        <w:rPr>
          <w:rFonts w:ascii="仿宋_GB2312" w:hAnsi="仿宋_GB2312" w:eastAsia="仿宋_GB2312" w:cs="仿宋_GB2312"/>
        </w:rPr>
        <w:t>②供应商提供虚假材料的；</w:t>
      </w:r>
    </w:p>
    <w:p w14:paraId="1A333E24">
      <w:pPr>
        <w:pStyle w:val="10"/>
        <w:ind w:firstLine="480"/>
        <w:jc w:val="both"/>
      </w:pPr>
      <w:r>
        <w:rPr>
          <w:rFonts w:ascii="仿宋_GB2312" w:hAnsi="仿宋_GB2312" w:eastAsia="仿宋_GB2312" w:cs="仿宋_GB2312"/>
        </w:rPr>
        <w:t>③供应商采取不正当手段诋毁、排挤其他供应商；</w:t>
      </w:r>
    </w:p>
    <w:p w14:paraId="16ADA6FF">
      <w:pPr>
        <w:pStyle w:val="10"/>
        <w:ind w:firstLine="480"/>
        <w:jc w:val="both"/>
      </w:pPr>
      <w:r>
        <w:rPr>
          <w:rFonts w:ascii="仿宋_GB2312" w:hAnsi="仿宋_GB2312" w:eastAsia="仿宋_GB2312" w:cs="仿宋_GB2312"/>
        </w:rPr>
        <w:t>④提交响应文件截止时间后，供应商在响应有效期内撤销响应文件的；</w:t>
      </w:r>
    </w:p>
    <w:p w14:paraId="5469E25E">
      <w:pPr>
        <w:pStyle w:val="10"/>
        <w:ind w:firstLine="480"/>
        <w:jc w:val="both"/>
      </w:pPr>
      <w:r>
        <w:rPr>
          <w:rFonts w:ascii="仿宋_GB2312" w:hAnsi="仿宋_GB2312" w:eastAsia="仿宋_GB2312" w:cs="仿宋_GB2312"/>
        </w:rPr>
        <w:t>⑤询价通知书规定的其他不予退还情形的；</w:t>
      </w:r>
    </w:p>
    <w:p w14:paraId="3246BAFA">
      <w:pPr>
        <w:pStyle w:val="10"/>
        <w:ind w:firstLine="480"/>
        <w:jc w:val="both"/>
      </w:pPr>
      <w:r>
        <w:rPr>
          <w:rFonts w:ascii="仿宋_GB2312" w:hAnsi="仿宋_GB2312" w:eastAsia="仿宋_GB2312" w:cs="仿宋_GB2312"/>
        </w:rPr>
        <w:t>⑥成交人有下列情形之一的；</w:t>
      </w:r>
    </w:p>
    <w:p w14:paraId="46B83038">
      <w:pPr>
        <w:pStyle w:val="10"/>
        <w:ind w:firstLine="480"/>
        <w:jc w:val="both"/>
      </w:pPr>
      <w:r>
        <w:rPr>
          <w:rFonts w:ascii="仿宋_GB2312" w:hAnsi="仿宋_GB2312" w:eastAsia="仿宋_GB2312" w:cs="仿宋_GB2312"/>
        </w:rPr>
        <w:t>a.除不可抗力外，因成交人自身原因未在成交通知书要求的期限内与采购人签订政府采购合同；</w:t>
      </w:r>
    </w:p>
    <w:p w14:paraId="0813BA2D">
      <w:pPr>
        <w:pStyle w:val="10"/>
        <w:ind w:firstLine="480"/>
        <w:jc w:val="both"/>
      </w:pPr>
      <w:r>
        <w:rPr>
          <w:rFonts w:ascii="仿宋_GB2312" w:hAnsi="仿宋_GB2312" w:eastAsia="仿宋_GB2312" w:cs="仿宋_GB2312"/>
        </w:rPr>
        <w:t>b.未按照询价通知书、响应文件的约定签订政府采购合同或提交履约保证金。</w:t>
      </w:r>
    </w:p>
    <w:p w14:paraId="500D368C">
      <w:pPr>
        <w:pStyle w:val="10"/>
        <w:ind w:firstLine="480"/>
        <w:jc w:val="both"/>
      </w:pPr>
      <w:r>
        <w:rPr>
          <w:rFonts w:ascii="仿宋_GB2312" w:hAnsi="仿宋_GB2312" w:eastAsia="仿宋_GB2312" w:cs="仿宋_GB2312"/>
        </w:rPr>
        <w:t>※若上述询价保证金不予退还情形给采购代理机构造成损失，则供应商还要承担相应的赔偿责任。</w:t>
      </w:r>
    </w:p>
    <w:p w14:paraId="480D8312">
      <w:pPr>
        <w:pStyle w:val="10"/>
        <w:ind w:firstLine="480"/>
        <w:jc w:val="both"/>
      </w:pPr>
      <w:r>
        <w:rPr>
          <w:rFonts w:ascii="仿宋_GB2312" w:hAnsi="仿宋_GB2312" w:eastAsia="仿宋_GB2312" w:cs="仿宋_GB2312"/>
        </w:rPr>
        <w:t>9.9响应文件的提交</w:t>
      </w:r>
    </w:p>
    <w:p w14:paraId="189747BC">
      <w:pPr>
        <w:pStyle w:val="10"/>
        <w:ind w:firstLine="480"/>
        <w:jc w:val="both"/>
      </w:pPr>
      <w:r>
        <w:rPr>
          <w:rFonts w:ascii="仿宋_GB2312" w:hAnsi="仿宋_GB2312" w:eastAsia="仿宋_GB2312" w:cs="仿宋_GB2312"/>
        </w:rPr>
        <w:t>（1）一个供应商只能提交一个响应文件，并按照询价通知书第一章规定将其送达。</w:t>
      </w:r>
    </w:p>
    <w:p w14:paraId="7999612C">
      <w:pPr>
        <w:pStyle w:val="10"/>
        <w:ind w:firstLine="480"/>
        <w:jc w:val="both"/>
      </w:pPr>
      <w:r>
        <w:rPr>
          <w:rFonts w:ascii="仿宋_GB2312" w:hAnsi="仿宋_GB2312" w:eastAsia="仿宋_GB2312" w:cs="仿宋_GB2312"/>
        </w:rPr>
        <w:t>（2）密封及其标记的具体形式：详见询价通知书第二章。</w:t>
      </w:r>
    </w:p>
    <w:p w14:paraId="4813C017">
      <w:pPr>
        <w:pStyle w:val="10"/>
        <w:ind w:firstLine="480"/>
        <w:jc w:val="both"/>
      </w:pPr>
      <w:r>
        <w:rPr>
          <w:rFonts w:ascii="仿宋_GB2312" w:hAnsi="仿宋_GB2312" w:eastAsia="仿宋_GB2312" w:cs="仿宋_GB2312"/>
        </w:rPr>
        <w:t>9.10响应文件的补充、修改或撤回</w:t>
      </w:r>
    </w:p>
    <w:p w14:paraId="56149A5E">
      <w:pPr>
        <w:pStyle w:val="10"/>
        <w:ind w:firstLine="480"/>
        <w:jc w:val="both"/>
      </w:pPr>
      <w:r>
        <w:rPr>
          <w:rFonts w:ascii="仿宋_GB2312" w:hAnsi="仿宋_GB2312" w:eastAsia="仿宋_GB2312" w:cs="仿宋_GB2312"/>
        </w:rPr>
        <w:t>（1）提交响应文件截止时间前，供应商可对所提交的响应文件进行补充、修改或撤回，并书面通知采购代理机构。</w:t>
      </w:r>
    </w:p>
    <w:p w14:paraId="7174368A">
      <w:pPr>
        <w:pStyle w:val="10"/>
        <w:ind w:firstLine="480"/>
        <w:jc w:val="both"/>
      </w:pPr>
      <w:r>
        <w:rPr>
          <w:rFonts w:ascii="仿宋_GB2312" w:hAnsi="仿宋_GB2312" w:eastAsia="仿宋_GB2312" w:cs="仿宋_GB2312"/>
        </w:rPr>
        <w:t>（2）补充、修改的内容应按照本章第9.5条第（4）款规定进行签章，并按照本章第9.9条规定提交，否则将被拒收。</w:t>
      </w:r>
    </w:p>
    <w:p w14:paraId="442134F4">
      <w:pPr>
        <w:pStyle w:val="10"/>
        <w:ind w:firstLine="480"/>
        <w:jc w:val="both"/>
      </w:pPr>
      <w:r>
        <w:rPr>
          <w:rFonts w:ascii="仿宋_GB2312" w:hAnsi="仿宋_GB2312" w:eastAsia="仿宋_GB2312" w:cs="仿宋_GB2312"/>
        </w:rPr>
        <w:t>（3）补充、修改的内容作为响应文件组成部分。</w:t>
      </w:r>
    </w:p>
    <w:p w14:paraId="11A2FACD">
      <w:pPr>
        <w:pStyle w:val="10"/>
        <w:ind w:firstLine="480"/>
        <w:jc w:val="both"/>
      </w:pPr>
      <w:r>
        <w:rPr>
          <w:rFonts w:ascii="仿宋_GB2312" w:hAnsi="仿宋_GB2312" w:eastAsia="仿宋_GB2312" w:cs="仿宋_GB2312"/>
        </w:rPr>
        <w:t>9.11除询价通知书另有规定外，有下列情形之一的，报价无效：</w:t>
      </w:r>
    </w:p>
    <w:p w14:paraId="34FFD640">
      <w:pPr>
        <w:pStyle w:val="10"/>
        <w:ind w:firstLine="480"/>
        <w:jc w:val="both"/>
      </w:pPr>
      <w:r>
        <w:rPr>
          <w:rFonts w:ascii="仿宋_GB2312" w:hAnsi="仿宋_GB2312" w:eastAsia="仿宋_GB2312" w:cs="仿宋_GB2312"/>
        </w:rPr>
        <w:t>（1）询价保证金未按照规定提交的；</w:t>
      </w:r>
    </w:p>
    <w:p w14:paraId="6D3435D0">
      <w:pPr>
        <w:pStyle w:val="10"/>
        <w:ind w:firstLine="480"/>
        <w:jc w:val="both"/>
      </w:pPr>
      <w:r>
        <w:rPr>
          <w:rFonts w:ascii="仿宋_GB2312" w:hAnsi="仿宋_GB2312" w:eastAsia="仿宋_GB2312" w:cs="仿宋_GB2312"/>
        </w:rPr>
        <w:t>（2）响应文件散装或活页装订的；</w:t>
      </w:r>
    </w:p>
    <w:p w14:paraId="404BE53A">
      <w:pPr>
        <w:pStyle w:val="10"/>
        <w:ind w:firstLine="480"/>
        <w:jc w:val="both"/>
      </w:pPr>
      <w:r>
        <w:rPr>
          <w:rFonts w:ascii="仿宋_GB2312" w:hAnsi="仿宋_GB2312" w:eastAsia="仿宋_GB2312" w:cs="仿宋_GB2312"/>
        </w:rPr>
        <w:t>（3）不具备询价通知书中规定的资格要求的；</w:t>
      </w:r>
    </w:p>
    <w:p w14:paraId="3CC87949">
      <w:pPr>
        <w:pStyle w:val="10"/>
        <w:ind w:firstLine="480"/>
        <w:jc w:val="both"/>
      </w:pPr>
      <w:r>
        <w:rPr>
          <w:rFonts w:ascii="仿宋_GB2312" w:hAnsi="仿宋_GB2312" w:eastAsia="仿宋_GB2312" w:cs="仿宋_GB2312"/>
        </w:rPr>
        <w:t>（4）报价超过询价通知书中规定的最高限价的；</w:t>
      </w:r>
    </w:p>
    <w:p w14:paraId="3A5BBF26">
      <w:pPr>
        <w:pStyle w:val="10"/>
        <w:ind w:firstLine="480"/>
        <w:jc w:val="both"/>
      </w:pPr>
      <w:r>
        <w:rPr>
          <w:rFonts w:ascii="仿宋_GB2312" w:hAnsi="仿宋_GB2312" w:eastAsia="仿宋_GB2312" w:cs="仿宋_GB2312"/>
        </w:rPr>
        <w:t>（5）响应文件含有采购人不能接受的附加条件的；</w:t>
      </w:r>
    </w:p>
    <w:p w14:paraId="502748DB">
      <w:pPr>
        <w:pStyle w:val="10"/>
        <w:ind w:firstLine="480"/>
        <w:jc w:val="both"/>
      </w:pPr>
      <w:r>
        <w:rPr>
          <w:rFonts w:ascii="仿宋_GB2312" w:hAnsi="仿宋_GB2312" w:eastAsia="仿宋_GB2312" w:cs="仿宋_GB2312"/>
        </w:rPr>
        <w:t>（6）响应文件不符合有关法律、法规和规章或询价通知书中规定的其他实质性要求的。</w:t>
      </w:r>
    </w:p>
    <w:p w14:paraId="219C948B">
      <w:pPr>
        <w:pStyle w:val="10"/>
        <w:jc w:val="center"/>
        <w:outlineLvl w:val="2"/>
      </w:pPr>
      <w:r>
        <w:rPr>
          <w:rFonts w:ascii="仿宋_GB2312" w:hAnsi="仿宋_GB2312" w:eastAsia="仿宋_GB2312" w:cs="仿宋_GB2312"/>
          <w:b/>
          <w:sz w:val="28"/>
        </w:rPr>
        <w:t>五、报价会</w:t>
      </w:r>
    </w:p>
    <w:p w14:paraId="44EDA646">
      <w:pPr>
        <w:pStyle w:val="10"/>
        <w:jc w:val="both"/>
      </w:pPr>
      <w:r>
        <w:rPr>
          <w:rFonts w:ascii="仿宋_GB2312" w:hAnsi="仿宋_GB2312" w:eastAsia="仿宋_GB2312" w:cs="仿宋_GB2312"/>
        </w:rPr>
        <w:t>10、报价</w:t>
      </w:r>
    </w:p>
    <w:p w14:paraId="0531D401">
      <w:pPr>
        <w:pStyle w:val="10"/>
        <w:ind w:firstLine="480"/>
        <w:jc w:val="both"/>
      </w:pPr>
      <w:r>
        <w:rPr>
          <w:rFonts w:ascii="仿宋_GB2312" w:hAnsi="仿宋_GB2312" w:eastAsia="仿宋_GB2312" w:cs="仿宋_GB2312"/>
        </w:rPr>
        <w:t>10.1报价在询价通知书载明的询价时间及地点进行。</w:t>
      </w:r>
    </w:p>
    <w:p w14:paraId="748854E8">
      <w:pPr>
        <w:pStyle w:val="10"/>
        <w:ind w:firstLine="480"/>
        <w:jc w:val="both"/>
      </w:pPr>
      <w:r>
        <w:rPr>
          <w:rFonts w:ascii="仿宋_GB2312" w:hAnsi="仿宋_GB2312" w:eastAsia="仿宋_GB2312" w:cs="仿宋_GB2312"/>
        </w:rPr>
        <w:t>10.2提交响应文件截止时间后，参加询价的供应商不足三家的，不进行响应文件开启活动。同时，本次采购活动终止，采购代理机构将依法组织后续采购活动（包括但不限于重新采购、采用其他方式采购、终止采购等）。</w:t>
      </w:r>
    </w:p>
    <w:p w14:paraId="74ADC564">
      <w:pPr>
        <w:pStyle w:val="10"/>
        <w:ind w:firstLine="480"/>
        <w:jc w:val="both"/>
      </w:pPr>
      <w:r>
        <w:rPr>
          <w:rFonts w:ascii="仿宋_GB2312" w:hAnsi="仿宋_GB2312" w:eastAsia="仿宋_GB2312" w:cs="仿宋_GB2312"/>
        </w:rPr>
        <w:t>10.3报价会由采购代理机构主持。报价会的主持人、唱标人、记录人及工作人员均由采购代理机构派出，现场监督人员由采购人派出；参加询价的供应商也应派出代表参加，未参加的，视同认可报价会结果。</w:t>
      </w:r>
    </w:p>
    <w:p w14:paraId="57043AEA">
      <w:pPr>
        <w:pStyle w:val="10"/>
        <w:ind w:firstLine="480"/>
        <w:jc w:val="both"/>
      </w:pPr>
      <w:r>
        <w:rPr>
          <w:rFonts w:ascii="仿宋_GB2312" w:hAnsi="仿宋_GB2312" w:eastAsia="仿宋_GB2312" w:cs="仿宋_GB2312"/>
        </w:rPr>
        <w:t>10.4参加报价会的供应商代表应签到，非供应商不参加报价会。</w:t>
      </w:r>
    </w:p>
    <w:p w14:paraId="2AE30331">
      <w:pPr>
        <w:pStyle w:val="10"/>
        <w:ind w:firstLine="480"/>
        <w:jc w:val="both"/>
      </w:pPr>
      <w:r>
        <w:rPr>
          <w:rFonts w:ascii="仿宋_GB2312" w:hAnsi="仿宋_GB2312" w:eastAsia="仿宋_GB2312" w:cs="仿宋_GB2312"/>
        </w:rPr>
        <w:t>10.5报价会应遵守下列规定：</w:t>
      </w:r>
    </w:p>
    <w:p w14:paraId="5E0EE79F">
      <w:pPr>
        <w:pStyle w:val="10"/>
        <w:ind w:firstLine="480"/>
        <w:jc w:val="both"/>
      </w:pPr>
      <w:r>
        <w:rPr>
          <w:rFonts w:ascii="仿宋_GB2312" w:hAnsi="仿宋_GB2312" w:eastAsia="仿宋_GB2312" w:cs="仿宋_GB2312"/>
        </w:rPr>
        <w:t>（1）首先由主持人宣读报价会须知，然后在现场监督人员的见证下，由供应商代表或者其推选的代表对响应文件的密封情况进行检查。密封经确认无误后，由工作人员或供应商代表对密封的响应文件当众拆封。</w:t>
      </w:r>
    </w:p>
    <w:p w14:paraId="52F93942">
      <w:pPr>
        <w:pStyle w:val="10"/>
        <w:ind w:firstLine="480"/>
        <w:jc w:val="both"/>
      </w:pPr>
      <w:r>
        <w:rPr>
          <w:rFonts w:ascii="仿宋_GB2312" w:hAnsi="仿宋_GB2312" w:eastAsia="仿宋_GB2312" w:cs="仿宋_GB2312"/>
        </w:rPr>
        <w:t>（2）唱标时，唱标人先宣读各供应商关于响应文件补充、修改或撤回的书面通知（若有），再宣读各供应商名称、报价和询价通知书规定的需要宣布的其他内容，记录人对唱标内容作记录。</w:t>
      </w:r>
    </w:p>
    <w:p w14:paraId="3BF9989C">
      <w:pPr>
        <w:pStyle w:val="10"/>
        <w:ind w:firstLine="480"/>
        <w:jc w:val="both"/>
      </w:pPr>
      <w:r>
        <w:rPr>
          <w:rFonts w:ascii="仿宋_GB2312" w:hAnsi="仿宋_GB2312" w:eastAsia="仿宋_GB2312" w:cs="仿宋_GB2312"/>
        </w:rPr>
        <w:t>（3）唱标结束后，供应商代表应对记录进行签字确认。供应商代表的签字确认，视为供应商对报价过程及记录予以认可。供应商代表拒绝签字确认且无合法理由，亦视为供应商对报价过程及记录予以认可。</w:t>
      </w:r>
    </w:p>
    <w:p w14:paraId="45FFC45E">
      <w:pPr>
        <w:pStyle w:val="10"/>
        <w:ind w:firstLine="480"/>
        <w:jc w:val="both"/>
      </w:pPr>
      <w:r>
        <w:rPr>
          <w:rFonts w:ascii="仿宋_GB2312" w:hAnsi="仿宋_GB2312" w:eastAsia="仿宋_GB2312" w:cs="仿宋_GB2312"/>
        </w:rPr>
        <w:t>（4）供应商代表对报价过程或记录若有异议，应以书面形式当场向主持人提出，否则，视为供应商对报价过程及记录予以认可。</w:t>
      </w:r>
    </w:p>
    <w:p w14:paraId="199C4FC5">
      <w:pPr>
        <w:pStyle w:val="10"/>
        <w:ind w:firstLine="480"/>
        <w:jc w:val="both"/>
      </w:pPr>
      <w:r>
        <w:rPr>
          <w:rFonts w:ascii="仿宋_GB2312" w:hAnsi="仿宋_GB2312" w:eastAsia="仿宋_GB2312" w:cs="仿宋_GB2312"/>
        </w:rPr>
        <w:t>（5）若供应商代表未参加报价会（包括但不限于供应商派出的人员不是供应商代表），则视为供应商对报价过程及记录予以认可。</w:t>
      </w:r>
    </w:p>
    <w:p w14:paraId="62896D41">
      <w:pPr>
        <w:pStyle w:val="10"/>
        <w:ind w:firstLine="480"/>
        <w:jc w:val="both"/>
      </w:pPr>
      <w:r>
        <w:rPr>
          <w:rFonts w:ascii="仿宋_GB2312" w:hAnsi="仿宋_GB2312" w:eastAsia="仿宋_GB2312" w:cs="仿宋_GB2312"/>
        </w:rPr>
        <w:t>※若出现本条第（3）、（4）、（5）款规定情形，则供应商不得在报价会后以响应文件的提交、响应文件的密封、采购方报价及报价会过程或记录等有关事由向采购方提出任何异议或要求（包括质疑）。</w:t>
      </w:r>
    </w:p>
    <w:p w14:paraId="11970764">
      <w:pPr>
        <w:pStyle w:val="10"/>
        <w:jc w:val="center"/>
        <w:outlineLvl w:val="2"/>
      </w:pPr>
      <w:r>
        <w:rPr>
          <w:rFonts w:ascii="仿宋_GB2312" w:hAnsi="仿宋_GB2312" w:eastAsia="仿宋_GB2312" w:cs="仿宋_GB2312"/>
          <w:b/>
          <w:sz w:val="28"/>
        </w:rPr>
        <w:t>六、成交与政府采购合同</w:t>
      </w:r>
    </w:p>
    <w:p w14:paraId="1BEB97B5">
      <w:pPr>
        <w:pStyle w:val="10"/>
        <w:jc w:val="both"/>
      </w:pPr>
      <w:r>
        <w:rPr>
          <w:rFonts w:ascii="仿宋_GB2312" w:hAnsi="仿宋_GB2312" w:eastAsia="仿宋_GB2312" w:cs="仿宋_GB2312"/>
        </w:rPr>
        <w:t>11、成交</w:t>
      </w:r>
    </w:p>
    <w:p w14:paraId="309758A4">
      <w:pPr>
        <w:pStyle w:val="10"/>
        <w:ind w:firstLine="480"/>
        <w:jc w:val="left"/>
      </w:pPr>
      <w:r>
        <w:rPr>
          <w:rFonts w:ascii="仿宋_GB2312" w:hAnsi="仿宋_GB2312" w:eastAsia="仿宋_GB2312" w:cs="仿宋_GB2312"/>
        </w:rPr>
        <w:t>11.1确定成交： 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14:paraId="3D386050">
      <w:pPr>
        <w:pStyle w:val="10"/>
        <w:jc w:val="both"/>
      </w:pPr>
      <w:r>
        <w:rPr>
          <w:rFonts w:ascii="仿宋_GB2312" w:hAnsi="仿宋_GB2312" w:eastAsia="仿宋_GB2312" w:cs="仿宋_GB2312"/>
        </w:rPr>
        <w:t>11.2询价终止：</w:t>
      </w:r>
    </w:p>
    <w:p w14:paraId="48D69D82">
      <w:pPr>
        <w:pStyle w:val="10"/>
        <w:ind w:firstLine="480"/>
        <w:jc w:val="both"/>
      </w:pPr>
      <w:r>
        <w:rPr>
          <w:rFonts w:ascii="仿宋_GB2312" w:hAnsi="仿宋_GB2312" w:eastAsia="仿宋_GB2312" w:cs="仿宋_GB2312"/>
        </w:rPr>
        <w:t>（1）出现下列情形之一的，采购代理机构应当终止询价采购活动，发布项目终止公告并说明原因，重新开展采购活动：</w:t>
      </w:r>
    </w:p>
    <w:p w14:paraId="69799851">
      <w:pPr>
        <w:pStyle w:val="10"/>
        <w:ind w:firstLine="480"/>
        <w:jc w:val="both"/>
      </w:pPr>
      <w:r>
        <w:rPr>
          <w:rFonts w:ascii="仿宋_GB2312" w:hAnsi="仿宋_GB2312" w:eastAsia="仿宋_GB2312" w:cs="仿宋_GB2312"/>
        </w:rPr>
        <w:t>①因情况变化，不再符合规定的询价采购方式适用情形的；</w:t>
      </w:r>
    </w:p>
    <w:p w14:paraId="2EBB3FE1">
      <w:pPr>
        <w:pStyle w:val="10"/>
        <w:ind w:firstLine="480"/>
        <w:jc w:val="both"/>
      </w:pPr>
      <w:r>
        <w:rPr>
          <w:rFonts w:ascii="仿宋_GB2312" w:hAnsi="仿宋_GB2312" w:eastAsia="仿宋_GB2312" w:cs="仿宋_GB2312"/>
        </w:rPr>
        <w:t>②出现影响采购公正的违法、违规行为的；</w:t>
      </w:r>
    </w:p>
    <w:p w14:paraId="2CA1CA58">
      <w:pPr>
        <w:pStyle w:val="10"/>
        <w:ind w:firstLine="480"/>
        <w:jc w:val="both"/>
      </w:pPr>
      <w:r>
        <w:rPr>
          <w:rFonts w:ascii="仿宋_GB2312" w:hAnsi="仿宋_GB2312" w:eastAsia="仿宋_GB2312" w:cs="仿宋_GB2312"/>
        </w:rPr>
        <w:t>③在采购过程中符合竞争要求的供应商或报价未超过采购最高限价的供应商不足3家的。</w:t>
      </w:r>
    </w:p>
    <w:p w14:paraId="4FA0F756">
      <w:pPr>
        <w:pStyle w:val="10"/>
        <w:ind w:firstLine="480"/>
        <w:jc w:val="both"/>
      </w:pPr>
      <w:r>
        <w:rPr>
          <w:rFonts w:ascii="仿宋_GB2312" w:hAnsi="仿宋_GB2312" w:eastAsia="仿宋_GB2312" w:cs="仿宋_GB2312"/>
        </w:rPr>
        <w:t>（2）因重大变故，采购任务取消的，采购代理机构应当终止采购活动，并通知所有参加采购活动的供应商</w:t>
      </w:r>
    </w:p>
    <w:p w14:paraId="519FEA2E">
      <w:pPr>
        <w:pStyle w:val="10"/>
        <w:jc w:val="both"/>
      </w:pPr>
      <w:r>
        <w:rPr>
          <w:rFonts w:ascii="仿宋_GB2312" w:hAnsi="仿宋_GB2312" w:eastAsia="仿宋_GB2312" w:cs="仿宋_GB2312"/>
        </w:rPr>
        <w:t>11.3成交公告</w:t>
      </w:r>
    </w:p>
    <w:p w14:paraId="7E838F7E">
      <w:pPr>
        <w:pStyle w:val="10"/>
        <w:ind w:firstLine="480"/>
        <w:jc w:val="both"/>
      </w:pPr>
      <w:r>
        <w:rPr>
          <w:rFonts w:ascii="仿宋_GB2312" w:hAnsi="仿宋_GB2312" w:eastAsia="仿宋_GB2312" w:cs="仿宋_GB2312"/>
        </w:rPr>
        <w:t>（1）成交人确定之日起2个工作日内，采购代理机构将在询价通知书载明的指定媒体以成交公告的形式发布成交结果。</w:t>
      </w:r>
    </w:p>
    <w:p w14:paraId="653F653D">
      <w:pPr>
        <w:pStyle w:val="10"/>
        <w:ind w:firstLine="480"/>
        <w:jc w:val="both"/>
      </w:pPr>
      <w:r>
        <w:rPr>
          <w:rFonts w:ascii="仿宋_GB2312" w:hAnsi="仿宋_GB2312" w:eastAsia="仿宋_GB2312" w:cs="仿宋_GB2312"/>
        </w:rPr>
        <w:t>（2）成交公告的公告期限为1个工作日。</w:t>
      </w:r>
    </w:p>
    <w:p w14:paraId="35F998B1">
      <w:pPr>
        <w:pStyle w:val="10"/>
        <w:jc w:val="both"/>
      </w:pPr>
      <w:r>
        <w:rPr>
          <w:rFonts w:ascii="仿宋_GB2312" w:hAnsi="仿宋_GB2312" w:eastAsia="仿宋_GB2312" w:cs="仿宋_GB2312"/>
        </w:rPr>
        <w:t>11.4成交通知书</w:t>
      </w:r>
    </w:p>
    <w:p w14:paraId="5287AD47">
      <w:pPr>
        <w:pStyle w:val="10"/>
        <w:ind w:firstLine="480"/>
        <w:jc w:val="both"/>
      </w:pPr>
      <w:r>
        <w:rPr>
          <w:rFonts w:ascii="仿宋_GB2312" w:hAnsi="仿宋_GB2312" w:eastAsia="仿宋_GB2312" w:cs="仿宋_GB2312"/>
        </w:rPr>
        <w:t>（1）成交公告发布的同时，采购代理机构将向成交人发出成交通知书。</w:t>
      </w:r>
    </w:p>
    <w:p w14:paraId="0196ED53">
      <w:pPr>
        <w:pStyle w:val="10"/>
        <w:ind w:firstLine="480"/>
        <w:jc w:val="both"/>
      </w:pPr>
      <w:r>
        <w:rPr>
          <w:rFonts w:ascii="仿宋_GB2312" w:hAnsi="仿宋_GB2312" w:eastAsia="仿宋_GB2312" w:cs="仿宋_GB2312"/>
        </w:rPr>
        <w:t>（2）成交通知书对采购人和成交人具有同等法律效力。</w:t>
      </w:r>
    </w:p>
    <w:p w14:paraId="1AE035F7">
      <w:pPr>
        <w:pStyle w:val="10"/>
        <w:ind w:firstLine="480"/>
        <w:jc w:val="both"/>
      </w:pPr>
      <w:r>
        <w:rPr>
          <w:rFonts w:ascii="仿宋_GB2312" w:hAnsi="仿宋_GB2312" w:eastAsia="仿宋_GB2312" w:cs="仿宋_GB2312"/>
        </w:rPr>
        <w:t>（3）成交通知书发出后，成交人放弃成交的，应依法承担法律责任。</w:t>
      </w:r>
    </w:p>
    <w:p w14:paraId="526AD9D7">
      <w:pPr>
        <w:pStyle w:val="10"/>
        <w:jc w:val="both"/>
      </w:pPr>
      <w:r>
        <w:rPr>
          <w:rFonts w:ascii="仿宋_GB2312" w:hAnsi="仿宋_GB2312" w:eastAsia="仿宋_GB2312" w:cs="仿宋_GB2312"/>
        </w:rPr>
        <w:t>12、政府采购合同</w:t>
      </w:r>
    </w:p>
    <w:p w14:paraId="38696E3B">
      <w:pPr>
        <w:pStyle w:val="10"/>
        <w:ind w:firstLine="480"/>
        <w:jc w:val="both"/>
      </w:pPr>
      <w:r>
        <w:rPr>
          <w:rFonts w:ascii="仿宋_GB2312" w:hAnsi="仿宋_GB2312" w:eastAsia="仿宋_GB2312" w:cs="仿宋_GB2312"/>
        </w:rPr>
        <w:t>12.1签订政府采购合同应遵守政府采购法及实施条例的规定，不得对询价通知书和成交人的响应文件作实质性修改。采购人不得提出任何不合理要求作为政府采购合同的签订条件。</w:t>
      </w:r>
    </w:p>
    <w:p w14:paraId="76CC7F70">
      <w:pPr>
        <w:pStyle w:val="10"/>
        <w:ind w:firstLine="480"/>
        <w:jc w:val="both"/>
      </w:pPr>
      <w:r>
        <w:rPr>
          <w:rFonts w:ascii="仿宋_GB2312" w:hAnsi="仿宋_GB2312" w:eastAsia="仿宋_GB2312" w:cs="仿宋_GB2312"/>
        </w:rPr>
        <w:t>12.2签订时限：详见须知前附表1的12.2。</w:t>
      </w:r>
    </w:p>
    <w:p w14:paraId="31F94E73">
      <w:pPr>
        <w:pStyle w:val="10"/>
        <w:ind w:firstLine="480"/>
        <w:jc w:val="both"/>
      </w:pPr>
      <w:r>
        <w:rPr>
          <w:rFonts w:ascii="仿宋_GB2312" w:hAnsi="仿宋_GB2312" w:eastAsia="仿宋_GB2312" w:cs="仿宋_GB2312"/>
        </w:rPr>
        <w:t>12.3政府采购合同的履行、违约责任和解决争议的方法等适用民法典。</w:t>
      </w:r>
    </w:p>
    <w:p w14:paraId="720AA3EC">
      <w:pPr>
        <w:pStyle w:val="10"/>
        <w:ind w:firstLine="480"/>
        <w:jc w:val="both"/>
      </w:pPr>
      <w:r>
        <w:rPr>
          <w:rFonts w:ascii="仿宋_GB2312" w:hAnsi="仿宋_GB2312" w:eastAsia="仿宋_GB2312" w:cs="仿宋_GB2312"/>
        </w:rPr>
        <w:t>12.4政府采购合同履行过程中，采购人若需追加与合同标的相同的货物或服务，则追加采购金额不得超过原合同采购金额的10%。</w:t>
      </w:r>
    </w:p>
    <w:p w14:paraId="2A09C6E4">
      <w:pPr>
        <w:pStyle w:val="10"/>
        <w:ind w:firstLine="480"/>
        <w:jc w:val="both"/>
      </w:pPr>
      <w:r>
        <w:rPr>
          <w:rFonts w:ascii="仿宋_GB2312" w:hAnsi="仿宋_GB2312" w:eastAsia="仿宋_GB2312" w:cs="仿宋_GB2312"/>
        </w:rPr>
        <w:t>12.5成交人在政府采购合同履行过程中应遵守有关法律、法规和规章的强制性规定（即使前述强制性规定有可能在询价通知书中未予列明）。</w:t>
      </w:r>
    </w:p>
    <w:p w14:paraId="6EA01011">
      <w:pPr>
        <w:pStyle w:val="10"/>
        <w:ind w:firstLine="480"/>
        <w:jc w:val="both"/>
      </w:pPr>
      <w:r>
        <w:rPr>
          <w:rFonts w:ascii="仿宋_GB2312" w:hAnsi="仿宋_GB2312" w:eastAsia="仿宋_GB2312" w:cs="仿宋_GB2312"/>
        </w:rPr>
        <w:t>12.6成交人有下列情形之一的，应依法承担违约责任：</w:t>
      </w:r>
    </w:p>
    <w:p w14:paraId="618E297A">
      <w:pPr>
        <w:pStyle w:val="10"/>
        <w:ind w:firstLine="480"/>
        <w:jc w:val="both"/>
      </w:pPr>
      <w:r>
        <w:rPr>
          <w:rFonts w:ascii="仿宋_GB2312" w:hAnsi="仿宋_GB2312" w:eastAsia="仿宋_GB2312" w:cs="仿宋_GB2312"/>
        </w:rPr>
        <w:t>（1）在履行期限届满前，明确表示或以自己的行为表明不履行合同；</w:t>
      </w:r>
    </w:p>
    <w:p w14:paraId="6BBA285D">
      <w:pPr>
        <w:pStyle w:val="10"/>
        <w:ind w:firstLine="480"/>
        <w:jc w:val="both"/>
      </w:pPr>
      <w:r>
        <w:rPr>
          <w:rFonts w:ascii="仿宋_GB2312" w:hAnsi="仿宋_GB2312" w:eastAsia="仿宋_GB2312" w:cs="仿宋_GB2312"/>
        </w:rPr>
        <w:t>（2）迟延履行合同，经催告后在合理期限内仍未履行；</w:t>
      </w:r>
    </w:p>
    <w:p w14:paraId="6CB04B63">
      <w:pPr>
        <w:pStyle w:val="10"/>
        <w:ind w:firstLine="480"/>
        <w:jc w:val="both"/>
      </w:pPr>
      <w:r>
        <w:rPr>
          <w:rFonts w:ascii="仿宋_GB2312" w:hAnsi="仿宋_GB2312" w:eastAsia="仿宋_GB2312" w:cs="仿宋_GB2312"/>
        </w:rPr>
        <w:t>（3）有其他违约行为致使不能实现合同目的；</w:t>
      </w:r>
    </w:p>
    <w:p w14:paraId="5B2487A1">
      <w:pPr>
        <w:pStyle w:val="10"/>
        <w:ind w:firstLine="480"/>
        <w:jc w:val="both"/>
      </w:pPr>
      <w:r>
        <w:rPr>
          <w:rFonts w:ascii="仿宋_GB2312" w:hAnsi="仿宋_GB2312" w:eastAsia="仿宋_GB2312" w:cs="仿宋_GB2312"/>
        </w:rPr>
        <w:t>（4）将合同转包，或未经采购人同意采取分包方式履行合同。</w:t>
      </w:r>
    </w:p>
    <w:p w14:paraId="18F7E490">
      <w:pPr>
        <w:pStyle w:val="10"/>
        <w:jc w:val="center"/>
        <w:outlineLvl w:val="2"/>
      </w:pPr>
      <w:r>
        <w:rPr>
          <w:rFonts w:ascii="仿宋_GB2312" w:hAnsi="仿宋_GB2312" w:eastAsia="仿宋_GB2312" w:cs="仿宋_GB2312"/>
          <w:b/>
          <w:sz w:val="28"/>
        </w:rPr>
        <w:t>七、询问、质疑与投诉</w:t>
      </w:r>
    </w:p>
    <w:p w14:paraId="063FF0E8">
      <w:pPr>
        <w:pStyle w:val="10"/>
        <w:jc w:val="both"/>
      </w:pPr>
      <w:r>
        <w:rPr>
          <w:rFonts w:ascii="仿宋_GB2312" w:hAnsi="仿宋_GB2312" w:eastAsia="仿宋_GB2312" w:cs="仿宋_GB2312"/>
        </w:rPr>
        <w:t>13、询问</w:t>
      </w:r>
    </w:p>
    <w:p w14:paraId="4E3CAFFF">
      <w:pPr>
        <w:pStyle w:val="10"/>
        <w:ind w:firstLine="480"/>
        <w:jc w:val="both"/>
      </w:pPr>
      <w:r>
        <w:rPr>
          <w:rFonts w:ascii="仿宋_GB2312" w:hAnsi="仿宋_GB2312" w:eastAsia="仿宋_GB2312" w:cs="仿宋_GB2312"/>
        </w:rPr>
        <w:t>13.1潜在供应商或供应商对本次采购活动的有关事项若有疑问，可向采购代理机构提出询问，采购代理机构将按照政府采购法及实施条例的有关规定进行答复。</w:t>
      </w:r>
    </w:p>
    <w:p w14:paraId="73839C71">
      <w:pPr>
        <w:pStyle w:val="10"/>
        <w:jc w:val="both"/>
      </w:pPr>
      <w:r>
        <w:rPr>
          <w:rFonts w:ascii="仿宋_GB2312" w:hAnsi="仿宋_GB2312" w:eastAsia="仿宋_GB2312" w:cs="仿宋_GB2312"/>
        </w:rPr>
        <w:t>14、质疑</w:t>
      </w:r>
    </w:p>
    <w:p w14:paraId="52D7ACC5">
      <w:pPr>
        <w:pStyle w:val="10"/>
        <w:ind w:firstLine="480"/>
        <w:jc w:val="both"/>
      </w:pPr>
      <w:r>
        <w:rPr>
          <w:rFonts w:ascii="仿宋_GB2312" w:hAnsi="仿宋_GB2312" w:eastAsia="仿宋_GB2312" w:cs="仿宋_GB2312"/>
        </w:rPr>
        <w:t>14.1质疑应在政府采购法及实施条例规定的时限内提出，并符合下列条件：</w:t>
      </w:r>
    </w:p>
    <w:p w14:paraId="1EE665CE">
      <w:pPr>
        <w:pStyle w:val="10"/>
        <w:ind w:firstLine="480"/>
        <w:jc w:val="both"/>
      </w:pPr>
      <w:r>
        <w:rPr>
          <w:rFonts w:ascii="仿宋_GB2312" w:hAnsi="仿宋_GB2312" w:eastAsia="仿宋_GB2312" w:cs="仿宋_GB2312"/>
        </w:rPr>
        <w:t>（1）对询价通知书提出质疑的，质疑人应为潜在供应商，且两者的身份、名称等均应保持一致。对采购过程、结果提出质疑的，质疑人应为供应商，且两者的身份、名称等均应保持一致。</w:t>
      </w:r>
    </w:p>
    <w:p w14:paraId="19138C0E">
      <w:pPr>
        <w:pStyle w:val="10"/>
        <w:ind w:firstLine="480"/>
        <w:jc w:val="both"/>
      </w:pPr>
      <w:r>
        <w:rPr>
          <w:rFonts w:ascii="仿宋_GB2312" w:hAnsi="仿宋_GB2312" w:eastAsia="仿宋_GB2312" w:cs="仿宋_GB2312"/>
        </w:rPr>
        <w:t>（2）质疑人应按照询价通知书第二章规定方式提交质疑函原件。</w:t>
      </w:r>
    </w:p>
    <w:p w14:paraId="42C84BB8">
      <w:pPr>
        <w:pStyle w:val="10"/>
        <w:ind w:firstLine="480"/>
        <w:jc w:val="both"/>
      </w:pPr>
      <w:r>
        <w:rPr>
          <w:rFonts w:ascii="仿宋_GB2312" w:hAnsi="仿宋_GB2312" w:eastAsia="仿宋_GB2312" w:cs="仿宋_GB2312"/>
        </w:rPr>
        <w:t>（3）质疑函应包括下列主要内容：</w:t>
      </w:r>
    </w:p>
    <w:p w14:paraId="4ABF6E84">
      <w:pPr>
        <w:pStyle w:val="10"/>
        <w:ind w:firstLine="480"/>
        <w:jc w:val="both"/>
      </w:pPr>
      <w:r>
        <w:rPr>
          <w:rFonts w:ascii="仿宋_GB2312" w:hAnsi="仿宋_GB2312" w:eastAsia="仿宋_GB2312" w:cs="仿宋_GB2312"/>
        </w:rPr>
        <w:t>①质疑人的基本信息，至少包括：全称、地址、邮政编码等；</w:t>
      </w:r>
    </w:p>
    <w:p w14:paraId="6CE434C3">
      <w:pPr>
        <w:pStyle w:val="10"/>
        <w:ind w:firstLine="480"/>
        <w:jc w:val="both"/>
      </w:pPr>
      <w:r>
        <w:rPr>
          <w:rFonts w:ascii="仿宋_GB2312" w:hAnsi="仿宋_GB2312" w:eastAsia="仿宋_GB2312" w:cs="仿宋_GB2312"/>
        </w:rPr>
        <w:t>②所质疑项目的基本信息，至少包括：项目编号、项目名称等；</w:t>
      </w:r>
    </w:p>
    <w:p w14:paraId="2D4C3604">
      <w:pPr>
        <w:pStyle w:val="10"/>
        <w:ind w:firstLine="480"/>
        <w:jc w:val="both"/>
      </w:pPr>
      <w:r>
        <w:rPr>
          <w:rFonts w:ascii="仿宋_GB2312" w:hAnsi="仿宋_GB2312" w:eastAsia="仿宋_GB2312" w:cs="仿宋_GB2312"/>
        </w:rPr>
        <w:t>③所质疑的具体事项（以下简称：“质疑事项”）；</w:t>
      </w:r>
    </w:p>
    <w:p w14:paraId="68817C2F">
      <w:pPr>
        <w:pStyle w:val="10"/>
        <w:ind w:firstLine="480"/>
        <w:jc w:val="both"/>
      </w:pPr>
      <w:r>
        <w:rPr>
          <w:rFonts w:ascii="仿宋_GB2312" w:hAnsi="仿宋_GB2312" w:eastAsia="仿宋_GB2312" w:cs="仿宋_GB2312"/>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14:paraId="71A57AA3">
      <w:pPr>
        <w:pStyle w:val="10"/>
        <w:ind w:firstLine="480"/>
        <w:jc w:val="both"/>
      </w:pPr>
      <w:r>
        <w:rPr>
          <w:rFonts w:ascii="仿宋_GB2312" w:hAnsi="仿宋_GB2312" w:eastAsia="仿宋_GB2312" w:cs="仿宋_GB2312"/>
        </w:rPr>
        <w:t>⑤针对质疑事项导致质疑人自身权益受到损害的必要证明材料，至少包括：</w:t>
      </w:r>
    </w:p>
    <w:p w14:paraId="5C16E64B">
      <w:pPr>
        <w:pStyle w:val="10"/>
        <w:ind w:firstLine="480"/>
        <w:jc w:val="both"/>
      </w:pPr>
      <w:r>
        <w:rPr>
          <w:rFonts w:ascii="仿宋_GB2312" w:hAnsi="仿宋_GB2312" w:eastAsia="仿宋_GB2312" w:cs="仿宋_GB2312"/>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14:paraId="20967F6D">
      <w:pPr>
        <w:pStyle w:val="10"/>
        <w:ind w:firstLine="480"/>
        <w:jc w:val="both"/>
      </w:pPr>
      <w:r>
        <w:rPr>
          <w:rFonts w:ascii="仿宋_GB2312" w:hAnsi="仿宋_GB2312" w:eastAsia="仿宋_GB2312" w:cs="仿宋_GB2312"/>
        </w:rPr>
        <w:t>b.其他证明材料，包括但不限于下列材料：</w:t>
      </w:r>
    </w:p>
    <w:p w14:paraId="1C7BF915">
      <w:pPr>
        <w:pStyle w:val="10"/>
        <w:ind w:firstLine="480"/>
        <w:jc w:val="both"/>
      </w:pPr>
      <w:r>
        <w:rPr>
          <w:rFonts w:ascii="仿宋_GB2312" w:hAnsi="仿宋_GB2312" w:eastAsia="仿宋_GB2312" w:cs="仿宋_GB2312"/>
        </w:rPr>
        <w:t>b1所质疑的具体事项是与自已有利害关系的证明材料；</w:t>
      </w:r>
    </w:p>
    <w:p w14:paraId="2D57EFA2">
      <w:pPr>
        <w:pStyle w:val="10"/>
        <w:ind w:firstLine="480"/>
        <w:jc w:val="both"/>
      </w:pPr>
      <w:r>
        <w:rPr>
          <w:rFonts w:ascii="仿宋_GB2312" w:hAnsi="仿宋_GB2312" w:eastAsia="仿宋_GB2312" w:cs="仿宋_GB2312"/>
        </w:rPr>
        <w:t>b2质疑函所述事实存在的证明材料，如：采购文件、采购过程或成交结果违法违规或不符合采购文件要求等证明材料；</w:t>
      </w:r>
    </w:p>
    <w:p w14:paraId="089A2FFE">
      <w:pPr>
        <w:pStyle w:val="10"/>
        <w:ind w:firstLine="480"/>
        <w:jc w:val="both"/>
      </w:pPr>
      <w:r>
        <w:rPr>
          <w:rFonts w:ascii="仿宋_GB2312" w:hAnsi="仿宋_GB2312" w:eastAsia="仿宋_GB2312" w:cs="仿宋_GB2312"/>
        </w:rPr>
        <w:t>b3依法应终止采购程序的证明材料；</w:t>
      </w:r>
    </w:p>
    <w:p w14:paraId="65315C2A">
      <w:pPr>
        <w:pStyle w:val="10"/>
        <w:ind w:firstLine="480"/>
        <w:jc w:val="both"/>
      </w:pPr>
      <w:r>
        <w:rPr>
          <w:rFonts w:ascii="仿宋_GB2312" w:hAnsi="仿宋_GB2312" w:eastAsia="仿宋_GB2312" w:cs="仿宋_GB2312"/>
        </w:rPr>
        <w:t>b4应重新采购的证明材料；</w:t>
      </w:r>
    </w:p>
    <w:p w14:paraId="6F8C531E">
      <w:pPr>
        <w:pStyle w:val="10"/>
        <w:ind w:firstLine="480"/>
        <w:jc w:val="both"/>
      </w:pPr>
      <w:r>
        <w:rPr>
          <w:rFonts w:ascii="仿宋_GB2312" w:hAnsi="仿宋_GB2312" w:eastAsia="仿宋_GB2312" w:cs="仿宋_GB2312"/>
        </w:rPr>
        <w:t>b5采购文件、采购过程或成交、成交结果损害自已合法权益的证明材料等；</w:t>
      </w:r>
    </w:p>
    <w:p w14:paraId="257B94A4">
      <w:pPr>
        <w:pStyle w:val="10"/>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5AD9BCA">
      <w:pPr>
        <w:pStyle w:val="10"/>
        <w:ind w:firstLine="480"/>
        <w:jc w:val="both"/>
      </w:pPr>
      <w:r>
        <w:rPr>
          <w:rFonts w:ascii="仿宋_GB2312" w:hAnsi="仿宋_GB2312" w:eastAsia="仿宋_GB2312" w:cs="仿宋_GB2312"/>
        </w:rPr>
        <w:t>⑥质疑人代表及其联系方式的信息，至少包括：姓名、手机、电子信箱、邮寄地址等。</w:t>
      </w:r>
    </w:p>
    <w:p w14:paraId="77D8D5B4">
      <w:pPr>
        <w:pStyle w:val="10"/>
        <w:ind w:firstLine="480"/>
        <w:jc w:val="both"/>
      </w:pPr>
      <w:r>
        <w:rPr>
          <w:rFonts w:ascii="仿宋_GB2312" w:hAnsi="仿宋_GB2312" w:eastAsia="仿宋_GB2312" w:cs="仿宋_GB2312"/>
        </w:rPr>
        <w:t>14.2对不符合本章第14.1条规定的质疑，采购代理机构将按照下列规定进行处理：</w:t>
      </w:r>
    </w:p>
    <w:p w14:paraId="32FE2115">
      <w:pPr>
        <w:pStyle w:val="10"/>
        <w:ind w:firstLine="480"/>
        <w:jc w:val="both"/>
      </w:pPr>
      <w:r>
        <w:rPr>
          <w:rFonts w:ascii="仿宋_GB2312" w:hAnsi="仿宋_GB2312" w:eastAsia="仿宋_GB2312" w:cs="仿宋_GB2312"/>
        </w:rPr>
        <w:t>（1）未按照规定提交的，书面告知质疑人不予受理及其理由。</w:t>
      </w:r>
    </w:p>
    <w:p w14:paraId="3E2E96FB">
      <w:pPr>
        <w:pStyle w:val="10"/>
        <w:ind w:firstLine="480"/>
        <w:jc w:val="both"/>
      </w:pPr>
      <w:r>
        <w:rPr>
          <w:rFonts w:ascii="仿宋_GB2312" w:hAnsi="仿宋_GB2312" w:eastAsia="仿宋_GB2312" w:cs="仿宋_GB2312"/>
        </w:rPr>
        <w:t>（2）内容不符合规定的，告知质疑人修改、补充后在规定时限内重新提交质疑函原件。</w:t>
      </w:r>
    </w:p>
    <w:p w14:paraId="74524C03">
      <w:pPr>
        <w:pStyle w:val="10"/>
        <w:ind w:firstLine="480"/>
        <w:jc w:val="both"/>
      </w:pPr>
      <w:r>
        <w:rPr>
          <w:rFonts w:ascii="仿宋_GB2312" w:hAnsi="仿宋_GB2312" w:eastAsia="仿宋_GB2312" w:cs="仿宋_GB2312"/>
        </w:rPr>
        <w:t>14.3对符合本章第14.1条规定的质疑，采购代理机构将按照政府采购法及实施条例的有关规定进行答复。</w:t>
      </w:r>
    </w:p>
    <w:p w14:paraId="4108A91F">
      <w:pPr>
        <w:pStyle w:val="10"/>
        <w:ind w:firstLine="480"/>
        <w:jc w:val="both"/>
      </w:pPr>
      <w:r>
        <w:rPr>
          <w:rFonts w:ascii="仿宋_GB2312" w:hAnsi="仿宋_GB2312" w:eastAsia="仿宋_GB2312" w:cs="仿宋_GB2312"/>
        </w:rPr>
        <w:t>14.4询价通知书的质疑：详见询价通知书第二章。</w:t>
      </w:r>
    </w:p>
    <w:p w14:paraId="547C5408">
      <w:pPr>
        <w:pStyle w:val="10"/>
        <w:jc w:val="both"/>
      </w:pPr>
      <w:r>
        <w:rPr>
          <w:rFonts w:ascii="仿宋_GB2312" w:hAnsi="仿宋_GB2312" w:eastAsia="仿宋_GB2312" w:cs="仿宋_GB2312"/>
        </w:rPr>
        <w:t>15、投诉</w:t>
      </w:r>
    </w:p>
    <w:p w14:paraId="022C8F96">
      <w:pPr>
        <w:pStyle w:val="10"/>
        <w:ind w:firstLine="480"/>
        <w:jc w:val="both"/>
      </w:pPr>
      <w:r>
        <w:rPr>
          <w:rFonts w:ascii="仿宋_GB2312" w:hAnsi="仿宋_GB2312" w:eastAsia="仿宋_GB2312" w:cs="仿宋_GB2312"/>
        </w:rPr>
        <w:t>15.1若对质疑答复不满意或质疑答复未在答复期限内作出，质疑人可在答复期限届满之日起15个工作日内向询价通知书第二章载明的监督管理部门投诉。</w:t>
      </w:r>
    </w:p>
    <w:p w14:paraId="012E0F39">
      <w:pPr>
        <w:pStyle w:val="10"/>
        <w:ind w:firstLine="480"/>
        <w:jc w:val="both"/>
      </w:pPr>
      <w:r>
        <w:rPr>
          <w:rFonts w:ascii="仿宋_GB2312" w:hAnsi="仿宋_GB2312" w:eastAsia="仿宋_GB2312" w:cs="仿宋_GB2312"/>
        </w:rPr>
        <w:t>15.2投诉应有明确的请求和必要的证明材料，投诉的事项不得超出已质疑事项的范围。</w:t>
      </w:r>
    </w:p>
    <w:p w14:paraId="00A11437">
      <w:pPr>
        <w:pStyle w:val="10"/>
        <w:jc w:val="center"/>
        <w:outlineLvl w:val="2"/>
      </w:pPr>
      <w:r>
        <w:rPr>
          <w:rFonts w:ascii="仿宋_GB2312" w:hAnsi="仿宋_GB2312" w:eastAsia="仿宋_GB2312" w:cs="仿宋_GB2312"/>
          <w:b/>
          <w:sz w:val="28"/>
        </w:rPr>
        <w:t>八、政府采购政策</w:t>
      </w:r>
    </w:p>
    <w:p w14:paraId="2D404F0F">
      <w:pPr>
        <w:pStyle w:val="10"/>
        <w:jc w:val="both"/>
      </w:pPr>
      <w:r>
        <w:rPr>
          <w:rFonts w:ascii="仿宋_GB2312" w:hAnsi="仿宋_GB2312" w:eastAsia="仿宋_GB2312" w:cs="仿宋_GB2312"/>
        </w:rPr>
        <w:t>16、政府采购政策由财政部根据国家的经济和社会发展政策并会同国家有关部委制定，包括但不限于下列管理办法或措施：</w:t>
      </w:r>
    </w:p>
    <w:p w14:paraId="03731535">
      <w:pPr>
        <w:pStyle w:val="10"/>
        <w:ind w:firstLine="480"/>
        <w:jc w:val="both"/>
      </w:pPr>
      <w:r>
        <w:rPr>
          <w:rFonts w:ascii="仿宋_GB2312" w:hAnsi="仿宋_GB2312" w:eastAsia="仿宋_GB2312" w:cs="仿宋_GB2312"/>
        </w:rPr>
        <w:t>16.1进口产品指通过中国海关报关验放进入中国境内且产自关境外的产品，其中：</w:t>
      </w:r>
    </w:p>
    <w:p w14:paraId="0E0AFBF3">
      <w:pPr>
        <w:pStyle w:val="10"/>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F7B67E3">
      <w:pPr>
        <w:pStyle w:val="10"/>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6DDC1B6B">
      <w:pPr>
        <w:pStyle w:val="10"/>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3358171">
      <w:pPr>
        <w:pStyle w:val="10"/>
        <w:ind w:firstLine="480"/>
        <w:jc w:val="both"/>
      </w:pPr>
      <w:r>
        <w:rPr>
          <w:rFonts w:ascii="仿宋_GB2312" w:hAnsi="仿宋_GB2312" w:eastAsia="仿宋_GB2312" w:cs="仿宋_GB2312"/>
        </w:rPr>
        <w:t>（4）询价通知书列明不允许或未列明允许进口产品参加报价的，均视为拒绝进口产品参加报价。</w:t>
      </w:r>
    </w:p>
    <w:p w14:paraId="00287443">
      <w:pPr>
        <w:pStyle w:val="10"/>
        <w:ind w:firstLine="480"/>
        <w:jc w:val="both"/>
      </w:pPr>
      <w:r>
        <w:rPr>
          <w:rFonts w:ascii="仿宋_GB2312" w:hAnsi="仿宋_GB2312" w:eastAsia="仿宋_GB2312" w:cs="仿宋_GB2312"/>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BCB14A3">
      <w:pPr>
        <w:pStyle w:val="10"/>
        <w:ind w:firstLine="480"/>
        <w:jc w:val="both"/>
      </w:pPr>
      <w:r>
        <w:rPr>
          <w:rFonts w:ascii="仿宋_GB2312" w:hAnsi="仿宋_GB2312" w:eastAsia="仿宋_GB2312" w:cs="仿宋_GB2312"/>
        </w:rPr>
        <w:t>16.3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865AB8B">
      <w:pPr>
        <w:pStyle w:val="10"/>
        <w:ind w:firstLine="480"/>
        <w:jc w:val="both"/>
      </w:pPr>
      <w:r>
        <w:rPr>
          <w:rFonts w:ascii="仿宋_GB2312" w:hAnsi="仿宋_GB2312" w:eastAsia="仿宋_GB2312" w:cs="仿宋_GB2312"/>
        </w:rPr>
        <w:t>（1）中小企业指符合下列条件的中型、小型、微型企业：</w:t>
      </w:r>
    </w:p>
    <w:p w14:paraId="11BF4071">
      <w:pPr>
        <w:pStyle w:val="10"/>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B5897DF">
      <w:pPr>
        <w:pStyle w:val="10"/>
        <w:ind w:firstLine="480"/>
        <w:jc w:val="both"/>
      </w:pPr>
      <w:r>
        <w:rPr>
          <w:rFonts w:ascii="仿宋_GB2312" w:hAnsi="仿宋_GB2312" w:eastAsia="仿宋_GB2312" w:cs="仿宋_GB2312"/>
        </w:rPr>
        <w:t>②符合中小企业划分标准的个体工商户，在政府采购活动中视同中小企业。</w:t>
      </w:r>
    </w:p>
    <w:p w14:paraId="74C5E507">
      <w:pPr>
        <w:pStyle w:val="10"/>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146EE5BD">
      <w:pPr>
        <w:pStyle w:val="10"/>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1049CBF1">
      <w:pPr>
        <w:pStyle w:val="10"/>
        <w:ind w:firstLine="480"/>
        <w:jc w:val="both"/>
      </w:pPr>
      <w:r>
        <w:rPr>
          <w:rFonts w:ascii="仿宋_GB2312" w:hAnsi="仿宋_GB2312" w:eastAsia="仿宋_GB2312" w:cs="仿宋_GB2312"/>
        </w:rPr>
        <w:t>②在工程采购项目中，工程由中小企业承建，即工程施工单位为中小企业；</w:t>
      </w:r>
    </w:p>
    <w:p w14:paraId="1C97047B">
      <w:pPr>
        <w:pStyle w:val="10"/>
        <w:ind w:firstLine="480"/>
        <w:jc w:val="both"/>
      </w:pPr>
      <w:r>
        <w:rPr>
          <w:rFonts w:ascii="仿宋_GB2312" w:hAnsi="仿宋_GB2312" w:eastAsia="仿宋_GB2312" w:cs="仿宋_GB2312"/>
        </w:rPr>
        <w:t>③在服务采购项目中，服务由中小企业承接，即提供服务的人员为中小企业依照《中华人民共和国劳动合同法》 订立劳动合同的从业人员。</w:t>
      </w:r>
    </w:p>
    <w:p w14:paraId="25C9B584">
      <w:pPr>
        <w:pStyle w:val="10"/>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3C17D160">
      <w:pPr>
        <w:pStyle w:val="10"/>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0D96621">
      <w:pPr>
        <w:pStyle w:val="10"/>
        <w:ind w:firstLine="480"/>
        <w:jc w:val="both"/>
      </w:pPr>
      <w:r>
        <w:rPr>
          <w:rFonts w:ascii="仿宋_GB2312" w:hAnsi="仿宋_GB2312" w:eastAsia="仿宋_GB2312" w:cs="仿宋_GB2312"/>
        </w:rPr>
        <w:t>（3）供应商应当按照询价通知书明确的采购标的对应行业的划分标准出具中小企业声明函。</w:t>
      </w:r>
    </w:p>
    <w:p w14:paraId="5EFB699D">
      <w:pPr>
        <w:pStyle w:val="10"/>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CD43EB3">
      <w:pPr>
        <w:pStyle w:val="10"/>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30FEDAC">
      <w:pPr>
        <w:pStyle w:val="10"/>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366158B">
      <w:pPr>
        <w:pStyle w:val="10"/>
        <w:ind w:firstLine="480"/>
        <w:jc w:val="both"/>
      </w:pPr>
      <w:r>
        <w:rPr>
          <w:rFonts w:ascii="仿宋_GB2312" w:hAnsi="仿宋_GB2312" w:eastAsia="仿宋_GB2312" w:cs="仿宋_GB2312"/>
        </w:rPr>
        <w:t>②监狱企业视同小型、微型企业。</w:t>
      </w:r>
    </w:p>
    <w:p w14:paraId="13147E76">
      <w:pPr>
        <w:pStyle w:val="10"/>
        <w:ind w:firstLine="480"/>
        <w:jc w:val="both"/>
      </w:pPr>
      <w:r>
        <w:rPr>
          <w:rFonts w:ascii="仿宋_GB2312" w:hAnsi="仿宋_GB2312" w:eastAsia="仿宋_GB2312" w:cs="仿宋_GB2312"/>
        </w:rPr>
        <w:t>（5）残疾人福利性单位指同时符合下列条件的单位：</w:t>
      </w:r>
    </w:p>
    <w:p w14:paraId="74D35662">
      <w:pPr>
        <w:pStyle w:val="10"/>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63F02D65">
      <w:pPr>
        <w:pStyle w:val="10"/>
        <w:ind w:firstLine="480"/>
        <w:jc w:val="both"/>
      </w:pPr>
      <w:r>
        <w:rPr>
          <w:rFonts w:ascii="仿宋_GB2312" w:hAnsi="仿宋_GB2312" w:eastAsia="仿宋_GB2312" w:cs="仿宋_GB2312"/>
        </w:rPr>
        <w:t>②依法与安置的每位残疾人签订了一年以上（含一年）的劳动合同或服务协议；</w:t>
      </w:r>
    </w:p>
    <w:p w14:paraId="168859EE">
      <w:pPr>
        <w:pStyle w:val="10"/>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7F9CB948">
      <w:pPr>
        <w:pStyle w:val="10"/>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5AB03550">
      <w:pPr>
        <w:pStyle w:val="10"/>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5206FDC1">
      <w:pPr>
        <w:pStyle w:val="10"/>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FEDDBE9">
      <w:pPr>
        <w:pStyle w:val="10"/>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FC35568">
      <w:pPr>
        <w:pStyle w:val="10"/>
        <w:ind w:firstLine="480"/>
        <w:jc w:val="both"/>
      </w:pPr>
      <w:r>
        <w:rPr>
          <w:rFonts w:ascii="仿宋_GB2312" w:hAnsi="仿宋_GB2312" w:eastAsia="仿宋_GB2312" w:cs="仿宋_GB2312"/>
        </w:rPr>
        <w:t>16.4信用记录指由财政部确定的有关网站提供的相关主体信用信息。信用记录的查询及使用应符合财政部文件（财库[2016]125号）规定。</w:t>
      </w:r>
    </w:p>
    <w:p w14:paraId="17259648">
      <w:pPr>
        <w:pStyle w:val="10"/>
        <w:ind w:firstLine="480"/>
        <w:jc w:val="both"/>
      </w:pPr>
      <w:r>
        <w:rPr>
          <w:rFonts w:ascii="仿宋_GB2312" w:hAnsi="仿宋_GB2312" w:eastAsia="仿宋_GB2312" w:cs="仿宋_GB2312"/>
        </w:rPr>
        <w:t>16.5为落实政府采购政策需满足的要求：详见询价通知书第一章。</w:t>
      </w:r>
    </w:p>
    <w:p w14:paraId="6D6A29A4">
      <w:pPr>
        <w:pStyle w:val="10"/>
        <w:jc w:val="center"/>
        <w:outlineLvl w:val="2"/>
      </w:pPr>
      <w:r>
        <w:rPr>
          <w:rFonts w:ascii="仿宋_GB2312" w:hAnsi="仿宋_GB2312" w:eastAsia="仿宋_GB2312" w:cs="仿宋_GB2312"/>
          <w:b/>
          <w:sz w:val="28"/>
        </w:rPr>
        <w:t>九、本项目的有关信息</w:t>
      </w:r>
    </w:p>
    <w:p w14:paraId="5E698972">
      <w:pPr>
        <w:pStyle w:val="10"/>
        <w:jc w:val="both"/>
      </w:pPr>
      <w:r>
        <w:rPr>
          <w:rFonts w:ascii="仿宋_GB2312" w:hAnsi="仿宋_GB2312" w:eastAsia="仿宋_GB2312" w:cs="仿宋_GB2312"/>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14:paraId="0736F6AE">
      <w:pPr>
        <w:pStyle w:val="10"/>
        <w:ind w:firstLine="480"/>
        <w:jc w:val="both"/>
      </w:pPr>
      <w:r>
        <w:rPr>
          <w:rFonts w:ascii="仿宋_GB2312" w:hAnsi="仿宋_GB2312" w:eastAsia="仿宋_GB2312" w:cs="仿宋_GB2312"/>
        </w:rPr>
        <w:t>17.1指定媒体：详见询价通知书第二章。</w:t>
      </w:r>
    </w:p>
    <w:p w14:paraId="73252A89">
      <w:pPr>
        <w:pStyle w:val="10"/>
        <w:jc w:val="center"/>
        <w:outlineLvl w:val="2"/>
      </w:pPr>
      <w:r>
        <w:rPr>
          <w:rFonts w:ascii="仿宋_GB2312" w:hAnsi="仿宋_GB2312" w:eastAsia="仿宋_GB2312" w:cs="仿宋_GB2312"/>
          <w:b/>
          <w:sz w:val="28"/>
        </w:rPr>
        <w:t>十、其他事项</w:t>
      </w:r>
    </w:p>
    <w:p w14:paraId="38405DCF">
      <w:pPr>
        <w:pStyle w:val="10"/>
        <w:jc w:val="both"/>
      </w:pPr>
      <w:r>
        <w:rPr>
          <w:rFonts w:ascii="仿宋_GB2312" w:hAnsi="仿宋_GB2312" w:eastAsia="仿宋_GB2312" w:cs="仿宋_GB2312"/>
        </w:rPr>
        <w:t>18、其他事项：详见询价通知书第二章。</w:t>
      </w:r>
    </w:p>
    <w:p w14:paraId="7A95246D">
      <w:pPr>
        <w:pStyle w:val="10"/>
        <w:ind w:firstLine="480"/>
        <w:jc w:val="both"/>
      </w:pPr>
      <w:r>
        <w:rPr>
          <w:rFonts w:ascii="仿宋_GB2312" w:hAnsi="仿宋_GB2312" w:eastAsia="仿宋_GB2312" w:cs="仿宋_GB2312"/>
        </w:rPr>
        <w:t>18.1本项目中如涉及商品包装和快递包装的，其包装需求标准应不低于《关于印发〈商品包装政府采购需求标准(试行)〉、〈快递包装政府采购需求标准(试行)〉的通知》（财办库〔2020〕 123号）规定的包装要求，其他包装需求详见询价通知书具体规定。采购人、成交人双方签订合同及验收环节，应包含上述包装要求的条款。</w:t>
      </w:r>
    </w:p>
    <w:p w14:paraId="3A8A2898">
      <w:pPr>
        <w:pStyle w:val="10"/>
        <w:ind w:firstLine="480"/>
        <w:jc w:val="both"/>
      </w:pPr>
      <w:r>
        <w:rPr>
          <w:rFonts w:ascii="仿宋_GB2312" w:hAnsi="仿宋_GB2312" w:eastAsia="仿宋_GB2312" w:cs="仿宋_GB2312"/>
        </w:rPr>
        <w:t>18.2其他：详见询价通知书第二章。</w:t>
      </w:r>
    </w:p>
    <w:p w14:paraId="1E791C39">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B3FFD0">
      <w:pPr>
        <w:pStyle w:val="10"/>
        <w:jc w:val="center"/>
        <w:outlineLvl w:val="1"/>
      </w:pPr>
      <w:r>
        <w:rPr>
          <w:rFonts w:ascii="仿宋_GB2312" w:hAnsi="仿宋_GB2312" w:eastAsia="仿宋_GB2312" w:cs="仿宋_GB2312"/>
          <w:b/>
          <w:sz w:val="36"/>
        </w:rPr>
        <w:t>第三章 评审</w:t>
      </w:r>
    </w:p>
    <w:p w14:paraId="6547E1B9">
      <w:pPr>
        <w:pStyle w:val="10"/>
        <w:jc w:val="both"/>
        <w:outlineLvl w:val="2"/>
      </w:pPr>
      <w:r>
        <w:rPr>
          <w:rFonts w:ascii="仿宋_GB2312" w:hAnsi="仿宋_GB2312" w:eastAsia="仿宋_GB2312" w:cs="仿宋_GB2312"/>
          <w:b/>
          <w:sz w:val="28"/>
        </w:rPr>
        <w:t>一、询价小组</w:t>
      </w:r>
    </w:p>
    <w:p w14:paraId="7103CC3B">
      <w:pPr>
        <w:pStyle w:val="10"/>
        <w:ind w:firstLine="480"/>
        <w:jc w:val="both"/>
      </w:pPr>
      <w:r>
        <w:rPr>
          <w:rFonts w:ascii="仿宋_GB2312" w:hAnsi="仿宋_GB2312" w:eastAsia="仿宋_GB2312" w:cs="仿宋_GB2312"/>
        </w:rPr>
        <w:t>1、采购代理机构负责依法组建询价小组及评审工作的组织。</w:t>
      </w:r>
    </w:p>
    <w:p w14:paraId="0FBF28F9">
      <w:pPr>
        <w:pStyle w:val="10"/>
        <w:ind w:firstLine="480"/>
        <w:jc w:val="both"/>
      </w:pPr>
      <w:r>
        <w:rPr>
          <w:rFonts w:ascii="仿宋_GB2312" w:hAnsi="仿宋_GB2312" w:eastAsia="仿宋_GB2312" w:cs="仿宋_GB2312"/>
        </w:rPr>
        <w:t>1.2、询价小组</w:t>
      </w:r>
    </w:p>
    <w:p w14:paraId="7DA47A47">
      <w:pPr>
        <w:pStyle w:val="10"/>
        <w:ind w:firstLine="960"/>
        <w:jc w:val="left"/>
      </w:pPr>
      <w:r>
        <w:rPr>
          <w:rFonts w:ascii="仿宋_GB2312" w:hAnsi="仿宋_GB2312" w:eastAsia="仿宋_GB2312" w:cs="仿宋_GB2312"/>
        </w:rPr>
        <w:t>由采购人代表和评审专家两部分共3人组成，其中由福建省政府采购评审专家库产生的评审专家2人，由采购人派出的采购人代表1人。</w:t>
      </w:r>
    </w:p>
    <w:p w14:paraId="0B0EA3E1">
      <w:pPr>
        <w:pStyle w:val="10"/>
        <w:ind w:firstLine="960"/>
        <w:jc w:val="both"/>
      </w:pPr>
      <w:r>
        <w:rPr>
          <w:rFonts w:ascii="仿宋_GB2312" w:hAnsi="仿宋_GB2312" w:eastAsia="仿宋_GB2312" w:cs="仿宋_GB2312"/>
        </w:rPr>
        <w:t>1.2.2询价小组负责具体评审事务，并按照下列原则依法独立履行有关职责：</w:t>
      </w:r>
    </w:p>
    <w:p w14:paraId="5A0CFA4C">
      <w:pPr>
        <w:pStyle w:val="10"/>
        <w:ind w:firstLine="960"/>
        <w:jc w:val="both"/>
      </w:pPr>
      <w:r>
        <w:rPr>
          <w:rFonts w:ascii="仿宋_GB2312" w:hAnsi="仿宋_GB2312" w:eastAsia="仿宋_GB2312" w:cs="仿宋_GB2312"/>
        </w:rPr>
        <w:t>（1）评审应保护国家利益、社会公共利益和各方当事人合法权益，提高采购效益，保证项目质量。</w:t>
      </w:r>
    </w:p>
    <w:p w14:paraId="0CEE0C7A">
      <w:pPr>
        <w:pStyle w:val="10"/>
        <w:ind w:firstLine="960"/>
        <w:jc w:val="both"/>
      </w:pPr>
      <w:r>
        <w:rPr>
          <w:rFonts w:ascii="仿宋_GB2312" w:hAnsi="仿宋_GB2312" w:eastAsia="仿宋_GB2312" w:cs="仿宋_GB2312"/>
        </w:rPr>
        <w:t>（2）评审应遵循公平、公正、科学、严谨和择优原则。</w:t>
      </w:r>
    </w:p>
    <w:p w14:paraId="10F5F86D">
      <w:pPr>
        <w:pStyle w:val="10"/>
        <w:ind w:firstLine="960"/>
        <w:jc w:val="both"/>
      </w:pPr>
      <w:r>
        <w:rPr>
          <w:rFonts w:ascii="仿宋_GB2312" w:hAnsi="仿宋_GB2312" w:eastAsia="仿宋_GB2312" w:cs="仿宋_GB2312"/>
        </w:rPr>
        <w:t>（3）评审的依据是询价通知书和响应文件。</w:t>
      </w:r>
    </w:p>
    <w:p w14:paraId="401C903A">
      <w:pPr>
        <w:pStyle w:val="10"/>
        <w:ind w:firstLine="960"/>
        <w:jc w:val="both"/>
      </w:pPr>
      <w:r>
        <w:rPr>
          <w:rFonts w:ascii="仿宋_GB2312" w:hAnsi="仿宋_GB2312" w:eastAsia="仿宋_GB2312" w:cs="仿宋_GB2312"/>
        </w:rPr>
        <w:t>（4）应按照询价通知书规定推荐成交候选人或确定成交人。</w:t>
      </w:r>
    </w:p>
    <w:p w14:paraId="1407B8B9">
      <w:pPr>
        <w:pStyle w:val="10"/>
        <w:ind w:firstLine="960"/>
        <w:jc w:val="both"/>
      </w:pPr>
      <w:r>
        <w:rPr>
          <w:rFonts w:ascii="仿宋_GB2312" w:hAnsi="仿宋_GB2312" w:eastAsia="仿宋_GB2312" w:cs="仿宋_GB2312"/>
        </w:rPr>
        <w:t>（5）评审应遵守下列评审纪律：</w:t>
      </w:r>
    </w:p>
    <w:p w14:paraId="666D6770">
      <w:pPr>
        <w:pStyle w:val="10"/>
        <w:ind w:firstLine="960"/>
        <w:jc w:val="both"/>
      </w:pPr>
      <w:r>
        <w:rPr>
          <w:rFonts w:ascii="仿宋_GB2312" w:hAnsi="仿宋_GB2312" w:eastAsia="仿宋_GB2312" w:cs="仿宋_GB2312"/>
        </w:rPr>
        <w:t>①评审情况不得私自外泄，有关信息由采购代理机构统一对外发布。</w:t>
      </w:r>
    </w:p>
    <w:p w14:paraId="1EAC7215">
      <w:pPr>
        <w:pStyle w:val="10"/>
        <w:ind w:firstLine="960"/>
        <w:jc w:val="both"/>
      </w:pPr>
      <w:r>
        <w:rPr>
          <w:rFonts w:ascii="仿宋_GB2312" w:hAnsi="仿宋_GB2312" w:eastAsia="仿宋_GB2312" w:cs="仿宋_GB2312"/>
        </w:rPr>
        <w:t>②对采购方或供应商提供的要求保密的资料，不得摘记翻印和外传。</w:t>
      </w:r>
    </w:p>
    <w:p w14:paraId="3CF23410">
      <w:pPr>
        <w:pStyle w:val="10"/>
        <w:ind w:firstLine="960"/>
        <w:jc w:val="both"/>
      </w:pPr>
      <w:r>
        <w:rPr>
          <w:rFonts w:ascii="仿宋_GB2312" w:hAnsi="仿宋_GB2312" w:eastAsia="仿宋_GB2312" w:cs="仿宋_GB2312"/>
        </w:rPr>
        <w:t>③不得收受供应商或有关人员的任何礼物，不得串联鼓动其他人袒护某供应商。若与供应商存在利害关系，则应主动声明并回避。</w:t>
      </w:r>
    </w:p>
    <w:p w14:paraId="2C6B29C9">
      <w:pPr>
        <w:pStyle w:val="10"/>
        <w:ind w:firstLine="960"/>
        <w:jc w:val="both"/>
      </w:pPr>
      <w:r>
        <w:rPr>
          <w:rFonts w:ascii="仿宋_GB2312" w:hAnsi="仿宋_GB2312" w:eastAsia="仿宋_GB2312" w:cs="仿宋_GB2312"/>
        </w:rPr>
        <w:t>④全体评委应按照询价通知书规定进行评审，一切认定事项应查有实据且不得弄虚作假。</w:t>
      </w:r>
    </w:p>
    <w:p w14:paraId="7C0B7CA5">
      <w:pPr>
        <w:pStyle w:val="10"/>
        <w:ind w:firstLine="960"/>
        <w:jc w:val="both"/>
      </w:pPr>
      <w:r>
        <w:rPr>
          <w:rFonts w:ascii="仿宋_GB2312" w:hAnsi="仿宋_GB2312" w:eastAsia="仿宋_GB2312" w:cs="仿宋_GB2312"/>
        </w:rPr>
        <w:t>⑤评审中应充分发扬民主，推荐成交候选人或确定成交人后要服从评审报告。</w:t>
      </w:r>
    </w:p>
    <w:p w14:paraId="6BD5D325">
      <w:pPr>
        <w:pStyle w:val="10"/>
        <w:jc w:val="both"/>
      </w:pPr>
      <w:r>
        <w:rPr>
          <w:rFonts w:ascii="仿宋_GB2312" w:hAnsi="仿宋_GB2312" w:eastAsia="仿宋_GB2312" w:cs="仿宋_GB2312"/>
          <w:b/>
        </w:rPr>
        <w:t>※对违反评审纪律的评委，将取消其评委资格，对评审工作造成严重损失者将予以通报批评乃至追究法律责任。</w:t>
      </w:r>
    </w:p>
    <w:p w14:paraId="62CBFDFE">
      <w:pPr>
        <w:pStyle w:val="10"/>
        <w:jc w:val="center"/>
        <w:outlineLvl w:val="2"/>
      </w:pPr>
      <w:r>
        <w:rPr>
          <w:rFonts w:ascii="仿宋_GB2312" w:hAnsi="仿宋_GB2312" w:eastAsia="仿宋_GB2312" w:cs="仿宋_GB2312"/>
          <w:b/>
          <w:sz w:val="28"/>
        </w:rPr>
        <w:t>二、评审</w:t>
      </w:r>
    </w:p>
    <w:p w14:paraId="3C2437DE">
      <w:pPr>
        <w:pStyle w:val="10"/>
        <w:jc w:val="both"/>
      </w:pPr>
      <w:r>
        <w:rPr>
          <w:rFonts w:ascii="仿宋_GB2312" w:hAnsi="仿宋_GB2312" w:eastAsia="仿宋_GB2312" w:cs="仿宋_GB2312"/>
        </w:rPr>
        <w:t>2.1、评审应遵守下列规定：</w:t>
      </w:r>
    </w:p>
    <w:p w14:paraId="09FB80D7">
      <w:pPr>
        <w:pStyle w:val="10"/>
        <w:ind w:firstLine="480"/>
        <w:jc w:val="both"/>
      </w:pPr>
      <w:r>
        <w:rPr>
          <w:rFonts w:ascii="仿宋_GB2312" w:hAnsi="仿宋_GB2312" w:eastAsia="仿宋_GB2312" w:cs="仿宋_GB2312"/>
        </w:rPr>
        <w:t>首先进行资格性与符合性审查，其次再进行技术商务及报价部分的评审，最终按照本章第2.2.7条规定的相应评审标准推荐成交候选人。</w:t>
      </w:r>
    </w:p>
    <w:p w14:paraId="64221F57">
      <w:pPr>
        <w:pStyle w:val="10"/>
        <w:jc w:val="both"/>
      </w:pPr>
      <w:r>
        <w:rPr>
          <w:rFonts w:ascii="仿宋_GB2312" w:hAnsi="仿宋_GB2312" w:eastAsia="仿宋_GB2312" w:cs="仿宋_GB2312"/>
        </w:rPr>
        <w:t>2.2、评审程序</w:t>
      </w:r>
    </w:p>
    <w:p w14:paraId="4F628566">
      <w:pPr>
        <w:pStyle w:val="10"/>
        <w:ind w:firstLine="480"/>
        <w:jc w:val="both"/>
      </w:pPr>
      <w:r>
        <w:rPr>
          <w:rFonts w:ascii="仿宋_GB2312" w:hAnsi="仿宋_GB2312" w:eastAsia="仿宋_GB2312" w:cs="仿宋_GB2312"/>
        </w:rPr>
        <w:t>2.2.1评审前的准备工作</w:t>
      </w:r>
    </w:p>
    <w:p w14:paraId="51864D5E">
      <w:pPr>
        <w:pStyle w:val="10"/>
        <w:ind w:firstLine="480"/>
        <w:jc w:val="both"/>
      </w:pPr>
      <w:r>
        <w:rPr>
          <w:rFonts w:ascii="仿宋_GB2312" w:hAnsi="仿宋_GB2312" w:eastAsia="仿宋_GB2312" w:cs="仿宋_GB2312"/>
        </w:rPr>
        <w:t>（1）全体评委应认真审阅询价通知书，了解评委应履行或遵守的职责、义务和评审纪律，并对询价通知书进行确认。</w:t>
      </w:r>
    </w:p>
    <w:p w14:paraId="7EA71D0F">
      <w:pPr>
        <w:pStyle w:val="10"/>
        <w:ind w:firstLine="480"/>
        <w:jc w:val="both"/>
      </w:pPr>
      <w:r>
        <w:rPr>
          <w:rFonts w:ascii="仿宋_GB2312" w:hAnsi="仿宋_GB2312" w:eastAsia="仿宋_GB2312" w:cs="仿宋_GB2312"/>
        </w:rPr>
        <w:t>（2）参加询价小组的采购人代表可对本项目的背景和采购需求进行介绍，介绍材料应以书面形式提交（随采购文件一并存档），介绍内容不得含有歧视性、倾向性意见，不得超出询价通知书所述范围。</w:t>
      </w:r>
    </w:p>
    <w:p w14:paraId="3CF6D935">
      <w:pPr>
        <w:pStyle w:val="10"/>
        <w:ind w:firstLine="480"/>
        <w:jc w:val="both"/>
      </w:pPr>
      <w:r>
        <w:rPr>
          <w:rFonts w:ascii="仿宋_GB2312" w:hAnsi="仿宋_GB2312" w:eastAsia="仿宋_GB2312" w:cs="仿宋_GB2312"/>
        </w:rPr>
        <w:t>2.2.2资格性审查</w:t>
      </w:r>
    </w:p>
    <w:p w14:paraId="00D7A7C4">
      <w:pPr>
        <w:pStyle w:val="10"/>
        <w:ind w:firstLine="480"/>
        <w:jc w:val="both"/>
      </w:pPr>
      <w:r>
        <w:rPr>
          <w:rFonts w:ascii="仿宋_GB2312" w:hAnsi="仿宋_GB2312" w:eastAsia="仿宋_GB2312" w:cs="仿宋_GB2312"/>
        </w:rPr>
        <w:t>询价小组将根据询价通知书，对供应商提供的资格证明材料进行审查。有任一项资格证明材料不满足资格条件的，视为无效响应。若供应商为联合体的，询价小组对联合体各方资格证明文件及联合体协议进行审查，不满足资格条件的，视为无效响应。</w:t>
      </w:r>
    </w:p>
    <w:p w14:paraId="5961B5CA">
      <w:pPr>
        <w:pStyle w:val="10"/>
        <w:ind w:firstLine="480"/>
        <w:jc w:val="both"/>
      </w:pPr>
      <w:r>
        <w:rPr>
          <w:rFonts w:ascii="仿宋_GB2312" w:hAnsi="仿宋_GB2312" w:eastAsia="仿宋_GB2312" w:cs="仿宋_GB2312"/>
        </w:rPr>
        <w:t>2.2.3符合性审查</w:t>
      </w:r>
    </w:p>
    <w:p w14:paraId="07B572CE">
      <w:pPr>
        <w:pStyle w:val="10"/>
        <w:ind w:firstLine="480"/>
        <w:jc w:val="both"/>
      </w:pPr>
      <w:r>
        <w:rPr>
          <w:rFonts w:ascii="仿宋_GB2312" w:hAnsi="仿宋_GB2312" w:eastAsia="仿宋_GB2312" w:cs="仿宋_GB2312"/>
        </w:rPr>
        <w:t>有效性、完整性审查。有下列情形之一的，符合性审查不合格，响应文件无效：</w:t>
      </w:r>
    </w:p>
    <w:p w14:paraId="3D652F01">
      <w:pPr>
        <w:pStyle w:val="10"/>
        <w:jc w:val="left"/>
      </w:pPr>
      <w:r>
        <w:rPr>
          <w:rFonts w:ascii="仿宋_GB2312" w:hAnsi="仿宋_GB2312" w:eastAsia="仿宋_GB2312" w:cs="仿宋_GB2312"/>
        </w:rPr>
        <w:t>采购包1：</w:t>
      </w:r>
    </w:p>
    <w:tbl>
      <w:tblPr>
        <w:tblStyle w:val="7"/>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3"/>
        <w:gridCol w:w="3736"/>
        <w:gridCol w:w="4981"/>
      </w:tblGrid>
      <w:tr w14:paraId="75085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4724E2BD">
            <w:pPr>
              <w:pStyle w:val="10"/>
              <w:jc w:val="left"/>
            </w:pPr>
            <w:r>
              <w:rPr>
                <w:rFonts w:ascii="仿宋_GB2312" w:hAnsi="仿宋_GB2312" w:eastAsia="仿宋_GB2312" w:cs="仿宋_GB2312"/>
              </w:rPr>
              <w:t xml:space="preserve"> 序号</w:t>
            </w:r>
          </w:p>
        </w:tc>
        <w:tc>
          <w:tcPr>
            <w:tcW w:w="1875" w:type="pct"/>
          </w:tcPr>
          <w:p w14:paraId="0EEE2A75">
            <w:pPr>
              <w:pStyle w:val="10"/>
              <w:jc w:val="left"/>
            </w:pPr>
            <w:r>
              <w:rPr>
                <w:rFonts w:ascii="仿宋_GB2312" w:hAnsi="仿宋_GB2312" w:eastAsia="仿宋_GB2312" w:cs="仿宋_GB2312"/>
              </w:rPr>
              <w:t xml:space="preserve"> 符合审查要求概况</w:t>
            </w:r>
          </w:p>
        </w:tc>
        <w:tc>
          <w:tcPr>
            <w:tcW w:w="2500" w:type="pct"/>
          </w:tcPr>
          <w:p w14:paraId="2989517F">
            <w:pPr>
              <w:pStyle w:val="10"/>
              <w:jc w:val="left"/>
            </w:pPr>
            <w:r>
              <w:rPr>
                <w:rFonts w:ascii="仿宋_GB2312" w:hAnsi="仿宋_GB2312" w:eastAsia="仿宋_GB2312" w:cs="仿宋_GB2312"/>
              </w:rPr>
              <w:t xml:space="preserve"> 评审点具体描述</w:t>
            </w:r>
          </w:p>
        </w:tc>
      </w:tr>
      <w:tr w14:paraId="0E05D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01CEC905">
            <w:pPr>
              <w:pStyle w:val="10"/>
              <w:jc w:val="left"/>
            </w:pPr>
            <w:r>
              <w:rPr>
                <w:rFonts w:ascii="仿宋_GB2312" w:hAnsi="仿宋_GB2312" w:eastAsia="仿宋_GB2312" w:cs="仿宋_GB2312"/>
              </w:rPr>
              <w:t>1</w:t>
            </w:r>
          </w:p>
        </w:tc>
        <w:tc>
          <w:tcPr>
            <w:tcW w:w="1875" w:type="pct"/>
          </w:tcPr>
          <w:p w14:paraId="75C5C3FE">
            <w:pPr>
              <w:pStyle w:val="10"/>
              <w:jc w:val="left"/>
            </w:pPr>
            <w:r>
              <w:rPr>
                <w:rFonts w:ascii="仿宋_GB2312" w:hAnsi="仿宋_GB2312" w:eastAsia="仿宋_GB2312" w:cs="仿宋_GB2312"/>
              </w:rPr>
              <w:t>情形1</w:t>
            </w:r>
          </w:p>
        </w:tc>
        <w:tc>
          <w:tcPr>
            <w:tcW w:w="2500" w:type="pct"/>
          </w:tcPr>
          <w:p w14:paraId="12199545">
            <w:pPr>
              <w:pStyle w:val="10"/>
              <w:jc w:val="left"/>
            </w:pPr>
            <w:r>
              <w:rPr>
                <w:rFonts w:ascii="仿宋_GB2312" w:hAnsi="仿宋_GB2312" w:eastAsia="仿宋_GB2312" w:cs="仿宋_GB2312"/>
              </w:rPr>
              <w:t>未按照询价通知书规定提交询价响应声明的；</w:t>
            </w:r>
          </w:p>
        </w:tc>
      </w:tr>
      <w:tr w14:paraId="7225E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75DA83B2">
            <w:pPr>
              <w:pStyle w:val="10"/>
              <w:jc w:val="left"/>
            </w:pPr>
            <w:r>
              <w:rPr>
                <w:rFonts w:ascii="仿宋_GB2312" w:hAnsi="仿宋_GB2312" w:eastAsia="仿宋_GB2312" w:cs="仿宋_GB2312"/>
              </w:rPr>
              <w:t>2</w:t>
            </w:r>
          </w:p>
        </w:tc>
        <w:tc>
          <w:tcPr>
            <w:tcW w:w="1875" w:type="pct"/>
          </w:tcPr>
          <w:p w14:paraId="27B410C3">
            <w:pPr>
              <w:pStyle w:val="10"/>
              <w:jc w:val="left"/>
            </w:pPr>
            <w:r>
              <w:rPr>
                <w:rFonts w:ascii="仿宋_GB2312" w:hAnsi="仿宋_GB2312" w:eastAsia="仿宋_GB2312" w:cs="仿宋_GB2312"/>
              </w:rPr>
              <w:t>情形2</w:t>
            </w:r>
          </w:p>
        </w:tc>
        <w:tc>
          <w:tcPr>
            <w:tcW w:w="2500" w:type="pct"/>
          </w:tcPr>
          <w:p w14:paraId="0AB105ED">
            <w:pPr>
              <w:pStyle w:val="10"/>
              <w:jc w:val="left"/>
            </w:pPr>
            <w:r>
              <w:rPr>
                <w:rFonts w:ascii="仿宋_GB2312" w:hAnsi="仿宋_GB2312" w:eastAsia="仿宋_GB2312" w:cs="仿宋_GB2312"/>
              </w:rPr>
              <w:t>未按照询价通知书规定提交询价保证金的；</w:t>
            </w:r>
          </w:p>
        </w:tc>
      </w:tr>
      <w:tr w14:paraId="384CC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6C688D2">
            <w:pPr>
              <w:pStyle w:val="10"/>
              <w:jc w:val="left"/>
            </w:pPr>
            <w:r>
              <w:rPr>
                <w:rFonts w:ascii="仿宋_GB2312" w:hAnsi="仿宋_GB2312" w:eastAsia="仿宋_GB2312" w:cs="仿宋_GB2312"/>
              </w:rPr>
              <w:t>3</w:t>
            </w:r>
          </w:p>
        </w:tc>
        <w:tc>
          <w:tcPr>
            <w:tcW w:w="1875" w:type="pct"/>
          </w:tcPr>
          <w:p w14:paraId="783B10FF">
            <w:pPr>
              <w:pStyle w:val="10"/>
              <w:jc w:val="left"/>
            </w:pPr>
            <w:r>
              <w:rPr>
                <w:rFonts w:ascii="仿宋_GB2312" w:hAnsi="仿宋_GB2312" w:eastAsia="仿宋_GB2312" w:cs="仿宋_GB2312"/>
              </w:rPr>
              <w:t>情形3</w:t>
            </w:r>
          </w:p>
        </w:tc>
        <w:tc>
          <w:tcPr>
            <w:tcW w:w="2500" w:type="pct"/>
          </w:tcPr>
          <w:p w14:paraId="1BB4D87B">
            <w:pPr>
              <w:pStyle w:val="10"/>
              <w:jc w:val="left"/>
            </w:pPr>
            <w:r>
              <w:rPr>
                <w:rFonts w:ascii="仿宋_GB2312" w:hAnsi="仿宋_GB2312" w:eastAsia="仿宋_GB2312" w:cs="仿宋_GB2312"/>
              </w:rPr>
              <w:t>响应文件有效期不足的；</w:t>
            </w:r>
          </w:p>
        </w:tc>
      </w:tr>
      <w:tr w14:paraId="02E15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384456AD">
            <w:pPr>
              <w:pStyle w:val="10"/>
              <w:jc w:val="left"/>
            </w:pPr>
            <w:r>
              <w:rPr>
                <w:rFonts w:ascii="仿宋_GB2312" w:hAnsi="仿宋_GB2312" w:eastAsia="仿宋_GB2312" w:cs="仿宋_GB2312"/>
              </w:rPr>
              <w:t>4</w:t>
            </w:r>
          </w:p>
        </w:tc>
        <w:tc>
          <w:tcPr>
            <w:tcW w:w="1875" w:type="pct"/>
          </w:tcPr>
          <w:p w14:paraId="7875D015">
            <w:pPr>
              <w:pStyle w:val="10"/>
              <w:jc w:val="left"/>
            </w:pPr>
            <w:r>
              <w:rPr>
                <w:rFonts w:ascii="仿宋_GB2312" w:hAnsi="仿宋_GB2312" w:eastAsia="仿宋_GB2312" w:cs="仿宋_GB2312"/>
              </w:rPr>
              <w:t>情形4</w:t>
            </w:r>
          </w:p>
        </w:tc>
        <w:tc>
          <w:tcPr>
            <w:tcW w:w="2500" w:type="pct"/>
          </w:tcPr>
          <w:p w14:paraId="2846C46C">
            <w:pPr>
              <w:pStyle w:val="10"/>
              <w:jc w:val="left"/>
            </w:pPr>
            <w:r>
              <w:rPr>
                <w:rFonts w:ascii="仿宋_GB2312" w:hAnsi="仿宋_GB2312" w:eastAsia="仿宋_GB2312" w:cs="仿宋_GB2312"/>
              </w:rPr>
              <w:t>本项目规定的其他情形</w:t>
            </w:r>
          </w:p>
        </w:tc>
      </w:tr>
    </w:tbl>
    <w:p w14:paraId="76ACE7C8">
      <w:pPr>
        <w:pStyle w:val="10"/>
        <w:jc w:val="left"/>
      </w:pPr>
      <w:r>
        <w:rPr>
          <w:rFonts w:ascii="仿宋_GB2312" w:hAnsi="仿宋_GB2312" w:eastAsia="仿宋_GB2312" w:cs="仿宋_GB2312"/>
        </w:rPr>
        <w:t>采购包1：</w:t>
      </w:r>
    </w:p>
    <w:p w14:paraId="203E5CBD">
      <w:pPr>
        <w:pStyle w:val="10"/>
        <w:jc w:val="left"/>
      </w:pPr>
      <w:r>
        <w:rPr>
          <w:rFonts w:ascii="仿宋_GB2312" w:hAnsi="仿宋_GB2312" w:eastAsia="仿宋_GB2312" w:cs="仿宋_GB2312"/>
        </w:rPr>
        <w:t>技术符合性</w:t>
      </w:r>
    </w:p>
    <w:tbl>
      <w:tblPr>
        <w:tblStyle w:val="7"/>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5"/>
        <w:gridCol w:w="1314"/>
        <w:gridCol w:w="7425"/>
      </w:tblGrid>
      <w:tr w14:paraId="43E46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vAlign w:val="center"/>
          </w:tcPr>
          <w:p w14:paraId="4B6CAFBB">
            <w:pPr>
              <w:pStyle w:val="10"/>
              <w:jc w:val="center"/>
            </w:pPr>
            <w:r>
              <w:rPr>
                <w:rFonts w:ascii="仿宋_GB2312" w:hAnsi="仿宋_GB2312" w:eastAsia="仿宋_GB2312" w:cs="仿宋_GB2312"/>
              </w:rPr>
              <w:t>情形</w:t>
            </w:r>
          </w:p>
        </w:tc>
        <w:tc>
          <w:tcPr>
            <w:tcW w:w="660" w:type="pct"/>
            <w:vAlign w:val="center"/>
          </w:tcPr>
          <w:p w14:paraId="36E19CBB">
            <w:pPr>
              <w:pStyle w:val="10"/>
              <w:jc w:val="center"/>
            </w:pPr>
            <w:r>
              <w:rPr>
                <w:rFonts w:ascii="仿宋_GB2312" w:hAnsi="仿宋_GB2312" w:eastAsia="仿宋_GB2312" w:cs="仿宋_GB2312"/>
              </w:rPr>
              <w:t>是否客观项</w:t>
            </w:r>
          </w:p>
        </w:tc>
        <w:tc>
          <w:tcPr>
            <w:tcW w:w="3728" w:type="pct"/>
            <w:vAlign w:val="center"/>
          </w:tcPr>
          <w:p w14:paraId="26DDD40C">
            <w:pPr>
              <w:pStyle w:val="10"/>
              <w:jc w:val="center"/>
            </w:pPr>
            <w:r>
              <w:rPr>
                <w:rFonts w:ascii="仿宋_GB2312" w:hAnsi="仿宋_GB2312" w:eastAsia="仿宋_GB2312" w:cs="仿宋_GB2312"/>
              </w:rPr>
              <w:t>明细</w:t>
            </w:r>
          </w:p>
        </w:tc>
      </w:tr>
      <w:tr w14:paraId="40027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shd w:val="clear" w:color="auto" w:fill="auto"/>
            <w:vAlign w:val="center"/>
          </w:tcPr>
          <w:p w14:paraId="4B6A7FDE">
            <w:pPr>
              <w:pStyle w:val="10"/>
              <w:jc w:val="center"/>
              <w:rPr>
                <w:rFonts w:hint="eastAsia" w:asciiTheme="minorHAnsi" w:hAnsiTheme="minorHAnsi" w:eastAsiaTheme="minorEastAsia" w:cstheme="minorBidi"/>
                <w:lang w:val="en-US" w:eastAsia="zh-Hans"/>
              </w:rPr>
            </w:pPr>
            <w:r>
              <w:rPr>
                <w:rFonts w:ascii="仿宋_GB2312" w:hAnsi="仿宋_GB2312" w:eastAsia="仿宋_GB2312" w:cs="仿宋_GB2312"/>
              </w:rPr>
              <w:t>其他情形1</w:t>
            </w:r>
          </w:p>
        </w:tc>
        <w:tc>
          <w:tcPr>
            <w:tcW w:w="660" w:type="pct"/>
            <w:vAlign w:val="center"/>
          </w:tcPr>
          <w:p w14:paraId="45DE50A8">
            <w:pPr>
              <w:pStyle w:val="10"/>
              <w:jc w:val="center"/>
            </w:pPr>
            <w:r>
              <w:rPr>
                <w:rFonts w:ascii="仿宋_GB2312" w:hAnsi="仿宋_GB2312" w:eastAsia="仿宋_GB2312" w:cs="仿宋_GB2312"/>
              </w:rPr>
              <w:t>是</w:t>
            </w:r>
          </w:p>
        </w:tc>
        <w:tc>
          <w:tcPr>
            <w:tcW w:w="3728" w:type="pct"/>
            <w:shd w:val="clear" w:color="auto" w:fill="auto"/>
            <w:vAlign w:val="center"/>
          </w:tcPr>
          <w:p w14:paraId="47E8A843">
            <w:pPr>
              <w:pStyle w:val="10"/>
              <w:jc w:val="left"/>
              <w:rPr>
                <w:rFonts w:hint="eastAsia" w:asciiTheme="minorHAnsi" w:hAnsiTheme="minorHAnsi" w:eastAsiaTheme="minorEastAsia" w:cstheme="minorBidi"/>
                <w:lang w:val="en-US" w:eastAsia="zh-Hans"/>
              </w:rPr>
            </w:pPr>
            <w:r>
              <w:rPr>
                <w:rFonts w:ascii="仿宋_GB2312" w:hAnsi="仿宋_GB2312" w:eastAsia="仿宋_GB2312" w:cs="仿宋_GB2312"/>
              </w:rPr>
              <w:t>属于询价通知书规定询价小组应否决其响应的情形，响应无效条款的。</w:t>
            </w:r>
          </w:p>
        </w:tc>
      </w:tr>
      <w:tr w14:paraId="0DF73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F0DD943">
            <w:pPr>
              <w:pStyle w:val="10"/>
              <w:jc w:val="center"/>
              <w:rPr>
                <w:rFonts w:hint="eastAsia" w:asciiTheme="minorHAnsi" w:hAnsiTheme="minorHAnsi" w:eastAsiaTheme="minorEastAsia" w:cstheme="minorBidi"/>
                <w:lang w:val="en-US" w:eastAsia="zh-Hans"/>
              </w:rPr>
            </w:pPr>
            <w:r>
              <w:rPr>
                <w:rFonts w:ascii="仿宋_GB2312" w:hAnsi="仿宋_GB2312" w:eastAsia="仿宋_GB2312" w:cs="仿宋_GB2312"/>
              </w:rPr>
              <w:t>其他情形2</w:t>
            </w:r>
          </w:p>
        </w:tc>
        <w:tc>
          <w:tcPr>
            <w:tcW w:w="0" w:type="auto"/>
            <w:vAlign w:val="center"/>
          </w:tcPr>
          <w:p w14:paraId="653B28B8">
            <w:pPr>
              <w:pStyle w:val="10"/>
              <w:jc w:val="center"/>
            </w:pPr>
            <w:r>
              <w:rPr>
                <w:rFonts w:ascii="仿宋_GB2312" w:hAnsi="仿宋_GB2312" w:eastAsia="仿宋_GB2312" w:cs="仿宋_GB2312"/>
              </w:rPr>
              <w:t>是</w:t>
            </w:r>
          </w:p>
        </w:tc>
        <w:tc>
          <w:tcPr>
            <w:tcW w:w="0" w:type="auto"/>
            <w:shd w:val="clear" w:color="auto" w:fill="auto"/>
            <w:vAlign w:val="center"/>
          </w:tcPr>
          <w:p w14:paraId="5EAAEFA3">
            <w:pPr>
              <w:pStyle w:val="10"/>
              <w:jc w:val="left"/>
              <w:rPr>
                <w:rFonts w:hint="eastAsia" w:asciiTheme="minorHAnsi" w:hAnsiTheme="minorHAnsi" w:eastAsiaTheme="minorEastAsia" w:cstheme="minorBidi"/>
                <w:lang w:val="en-US" w:eastAsia="zh-Hans"/>
              </w:rPr>
            </w:pPr>
            <w:r>
              <w:rPr>
                <w:rFonts w:ascii="仿宋_GB2312" w:hAnsi="仿宋_GB2312" w:eastAsia="仿宋_GB2312" w:cs="仿宋_GB2312"/>
              </w:rPr>
              <w:t>不符合询价通知书中规定的实质性要求和条件的。</w:t>
            </w:r>
          </w:p>
        </w:tc>
      </w:tr>
      <w:tr w14:paraId="26055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2109115">
            <w:pPr>
              <w:pStyle w:val="10"/>
              <w:jc w:val="center"/>
              <w:rPr>
                <w:rFonts w:hint="eastAsia" w:asciiTheme="minorHAnsi" w:hAnsiTheme="minorHAnsi" w:eastAsiaTheme="minorEastAsia" w:cstheme="minorBidi"/>
                <w:lang w:val="en-US" w:eastAsia="zh-Hans"/>
              </w:rPr>
            </w:pPr>
            <w:r>
              <w:rPr>
                <w:rFonts w:ascii="仿宋_GB2312" w:hAnsi="仿宋_GB2312" w:eastAsia="仿宋_GB2312" w:cs="仿宋_GB2312"/>
              </w:rPr>
              <w:t>其他情形3</w:t>
            </w:r>
          </w:p>
        </w:tc>
        <w:tc>
          <w:tcPr>
            <w:tcW w:w="0" w:type="auto"/>
            <w:vAlign w:val="center"/>
          </w:tcPr>
          <w:p w14:paraId="527B67A1">
            <w:pPr>
              <w:pStyle w:val="10"/>
              <w:jc w:val="center"/>
            </w:pPr>
            <w:r>
              <w:rPr>
                <w:rFonts w:ascii="仿宋_GB2312" w:hAnsi="仿宋_GB2312" w:eastAsia="仿宋_GB2312" w:cs="仿宋_GB2312"/>
              </w:rPr>
              <w:t>是</w:t>
            </w:r>
          </w:p>
        </w:tc>
        <w:tc>
          <w:tcPr>
            <w:tcW w:w="0" w:type="auto"/>
            <w:shd w:val="clear" w:color="auto" w:fill="auto"/>
            <w:vAlign w:val="center"/>
          </w:tcPr>
          <w:p w14:paraId="62011321">
            <w:pPr>
              <w:pStyle w:val="10"/>
              <w:jc w:val="left"/>
              <w:rPr>
                <w:rFonts w:hint="eastAsia" w:asciiTheme="minorHAnsi" w:hAnsiTheme="minorHAnsi" w:eastAsiaTheme="minorEastAsia" w:cstheme="minorBidi"/>
                <w:lang w:val="en-US" w:eastAsia="zh-Hans"/>
              </w:rPr>
            </w:pPr>
            <w:r>
              <w:rPr>
                <w:rFonts w:ascii="仿宋_GB2312" w:hAnsi="仿宋_GB2312" w:eastAsia="仿宋_GB2312" w:cs="仿宋_GB2312"/>
              </w:rPr>
              <w:t>属于询价通知书规定“无效响应”或“响应文件无效”或“报价无效”条款的。</w:t>
            </w:r>
          </w:p>
        </w:tc>
      </w:tr>
      <w:tr w14:paraId="797B0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17E184C">
            <w:pPr>
              <w:pStyle w:val="10"/>
              <w:jc w:val="center"/>
              <w:rPr>
                <w:rFonts w:hint="eastAsia" w:asciiTheme="minorHAnsi" w:hAnsiTheme="minorHAnsi" w:eastAsiaTheme="minorEastAsia" w:cstheme="minorBidi"/>
                <w:lang w:val="en-US" w:eastAsia="zh-Hans"/>
              </w:rPr>
            </w:pPr>
            <w:r>
              <w:rPr>
                <w:rFonts w:ascii="仿宋_GB2312" w:hAnsi="仿宋_GB2312" w:eastAsia="仿宋_GB2312" w:cs="仿宋_GB2312"/>
              </w:rPr>
              <w:t>其他情形4</w:t>
            </w:r>
          </w:p>
        </w:tc>
        <w:tc>
          <w:tcPr>
            <w:tcW w:w="0" w:type="auto"/>
            <w:vAlign w:val="center"/>
          </w:tcPr>
          <w:p w14:paraId="3107045E">
            <w:pPr>
              <w:pStyle w:val="10"/>
              <w:jc w:val="center"/>
            </w:pPr>
            <w:r>
              <w:rPr>
                <w:rFonts w:ascii="仿宋_GB2312" w:hAnsi="仿宋_GB2312" w:eastAsia="仿宋_GB2312" w:cs="仿宋_GB2312"/>
              </w:rPr>
              <w:t>是</w:t>
            </w:r>
          </w:p>
        </w:tc>
        <w:tc>
          <w:tcPr>
            <w:tcW w:w="0" w:type="auto"/>
            <w:shd w:val="clear" w:color="auto" w:fill="auto"/>
            <w:vAlign w:val="center"/>
          </w:tcPr>
          <w:p w14:paraId="6AF2B37F">
            <w:pPr>
              <w:pStyle w:val="10"/>
              <w:jc w:val="left"/>
              <w:rPr>
                <w:rFonts w:hint="eastAsia" w:asciiTheme="minorHAnsi" w:hAnsiTheme="minorHAnsi" w:eastAsiaTheme="minorEastAsia" w:cstheme="minorBidi"/>
                <w:lang w:val="en-US" w:eastAsia="zh-Hans"/>
              </w:rPr>
            </w:pPr>
            <w:r>
              <w:rPr>
                <w:rFonts w:ascii="仿宋_GB2312" w:hAnsi="仿宋_GB2312" w:eastAsia="仿宋_GB2312" w:cs="仿宋_GB2312"/>
              </w:rPr>
              <w:t>供应商响应询价通知书第四章《询价内容及要求》中“二、技术要求”的内容出现负偏离（或未响应）的。</w:t>
            </w:r>
          </w:p>
        </w:tc>
      </w:tr>
      <w:tr w14:paraId="645CF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5D5C8287">
            <w:pPr>
              <w:pStyle w:val="10"/>
              <w:jc w:val="center"/>
              <w:rPr>
                <w:rFonts w:hint="eastAsia" w:asciiTheme="minorHAnsi" w:hAnsiTheme="minorHAnsi" w:eastAsiaTheme="minorEastAsia" w:cstheme="minorBidi"/>
                <w:lang w:val="en-US" w:eastAsia="zh-Hans"/>
              </w:rPr>
            </w:pPr>
            <w:r>
              <w:rPr>
                <w:rFonts w:ascii="仿宋_GB2312" w:hAnsi="仿宋_GB2312" w:eastAsia="仿宋_GB2312" w:cs="仿宋_GB2312"/>
              </w:rPr>
              <w:t>其他情形5</w:t>
            </w:r>
          </w:p>
        </w:tc>
        <w:tc>
          <w:tcPr>
            <w:tcW w:w="0" w:type="auto"/>
            <w:vAlign w:val="center"/>
          </w:tcPr>
          <w:p w14:paraId="7265EF7F">
            <w:pPr>
              <w:pStyle w:val="10"/>
              <w:jc w:val="center"/>
            </w:pPr>
            <w:r>
              <w:rPr>
                <w:rFonts w:ascii="仿宋_GB2312" w:hAnsi="仿宋_GB2312" w:eastAsia="仿宋_GB2312" w:cs="仿宋_GB2312"/>
              </w:rPr>
              <w:t>是</w:t>
            </w:r>
          </w:p>
        </w:tc>
        <w:tc>
          <w:tcPr>
            <w:tcW w:w="0" w:type="auto"/>
            <w:shd w:val="clear" w:color="auto" w:fill="auto"/>
            <w:vAlign w:val="center"/>
          </w:tcPr>
          <w:p w14:paraId="0AC8AC6A">
            <w:pPr>
              <w:pStyle w:val="10"/>
              <w:jc w:val="left"/>
              <w:rPr>
                <w:rFonts w:hint="eastAsia" w:asciiTheme="minorHAnsi" w:hAnsiTheme="minorHAnsi" w:eastAsiaTheme="minorEastAsia" w:cstheme="minorBidi"/>
                <w:lang w:val="en-US" w:eastAsia="zh-Hans"/>
              </w:rPr>
            </w:pPr>
            <w:r>
              <w:rPr>
                <w:rFonts w:ascii="仿宋_GB2312" w:hAnsi="仿宋_GB2312" w:eastAsia="仿宋_GB2312" w:cs="仿宋_GB2312"/>
              </w:rPr>
              <w:t>响应文件未按照询价通知书规定要求签署、盖章的。</w:t>
            </w:r>
          </w:p>
        </w:tc>
      </w:tr>
    </w:tbl>
    <w:p w14:paraId="5C1E1BC1">
      <w:pPr>
        <w:pStyle w:val="10"/>
        <w:jc w:val="left"/>
      </w:pPr>
      <w:r>
        <w:rPr>
          <w:rFonts w:ascii="仿宋_GB2312" w:hAnsi="仿宋_GB2312" w:eastAsia="仿宋_GB2312" w:cs="仿宋_GB2312"/>
        </w:rPr>
        <w:t>商务符合性</w:t>
      </w:r>
    </w:p>
    <w:tbl>
      <w:tblPr>
        <w:tblStyle w:val="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5"/>
        <w:gridCol w:w="1316"/>
        <w:gridCol w:w="7425"/>
      </w:tblGrid>
      <w:tr w14:paraId="39723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vAlign w:val="center"/>
          </w:tcPr>
          <w:p w14:paraId="1BA07958">
            <w:pPr>
              <w:pStyle w:val="10"/>
              <w:jc w:val="center"/>
            </w:pPr>
            <w:r>
              <w:rPr>
                <w:rFonts w:ascii="仿宋_GB2312" w:hAnsi="仿宋_GB2312" w:eastAsia="仿宋_GB2312" w:cs="仿宋_GB2312"/>
              </w:rPr>
              <w:t>情形</w:t>
            </w:r>
          </w:p>
        </w:tc>
        <w:tc>
          <w:tcPr>
            <w:tcW w:w="661" w:type="pct"/>
            <w:vAlign w:val="center"/>
          </w:tcPr>
          <w:p w14:paraId="269A7C0C">
            <w:pPr>
              <w:pStyle w:val="10"/>
              <w:jc w:val="center"/>
            </w:pPr>
            <w:r>
              <w:rPr>
                <w:rFonts w:ascii="仿宋_GB2312" w:hAnsi="仿宋_GB2312" w:eastAsia="仿宋_GB2312" w:cs="仿宋_GB2312"/>
              </w:rPr>
              <w:t>是否客观项</w:t>
            </w:r>
          </w:p>
        </w:tc>
        <w:tc>
          <w:tcPr>
            <w:tcW w:w="3728" w:type="pct"/>
            <w:vAlign w:val="center"/>
          </w:tcPr>
          <w:p w14:paraId="35F07B15">
            <w:pPr>
              <w:pStyle w:val="10"/>
              <w:jc w:val="center"/>
            </w:pPr>
            <w:r>
              <w:rPr>
                <w:rFonts w:ascii="仿宋_GB2312" w:hAnsi="仿宋_GB2312" w:eastAsia="仿宋_GB2312" w:cs="仿宋_GB2312"/>
              </w:rPr>
              <w:t>明细</w:t>
            </w:r>
          </w:p>
        </w:tc>
      </w:tr>
      <w:tr w14:paraId="3B223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shd w:val="clear" w:color="auto" w:fill="auto"/>
            <w:vAlign w:val="center"/>
          </w:tcPr>
          <w:p w14:paraId="590BEB7E">
            <w:pPr>
              <w:pStyle w:val="10"/>
              <w:jc w:val="center"/>
              <w:rPr>
                <w:rFonts w:hint="eastAsia" w:asciiTheme="minorHAnsi" w:hAnsiTheme="minorHAnsi" w:eastAsiaTheme="minorEastAsia" w:cstheme="minorBidi"/>
                <w:lang w:val="en-US" w:eastAsia="zh-Hans"/>
              </w:rPr>
            </w:pPr>
            <w:r>
              <w:rPr>
                <w:rFonts w:ascii="仿宋_GB2312" w:hAnsi="仿宋_GB2312" w:eastAsia="仿宋_GB2312" w:cs="仿宋_GB2312"/>
              </w:rPr>
              <w:t>其他情形1</w:t>
            </w:r>
          </w:p>
        </w:tc>
        <w:tc>
          <w:tcPr>
            <w:tcW w:w="661" w:type="pct"/>
            <w:vAlign w:val="center"/>
          </w:tcPr>
          <w:p w14:paraId="20065062">
            <w:pPr>
              <w:pStyle w:val="10"/>
              <w:jc w:val="center"/>
            </w:pPr>
            <w:r>
              <w:rPr>
                <w:rFonts w:ascii="仿宋_GB2312" w:hAnsi="仿宋_GB2312" w:eastAsia="仿宋_GB2312" w:cs="仿宋_GB2312"/>
              </w:rPr>
              <w:t>是</w:t>
            </w:r>
          </w:p>
        </w:tc>
        <w:tc>
          <w:tcPr>
            <w:tcW w:w="3728" w:type="pct"/>
            <w:shd w:val="clear" w:color="auto" w:fill="auto"/>
            <w:vAlign w:val="center"/>
          </w:tcPr>
          <w:p w14:paraId="247891FD">
            <w:pPr>
              <w:pStyle w:val="10"/>
              <w:jc w:val="both"/>
              <w:rPr>
                <w:rFonts w:hint="eastAsia" w:asciiTheme="minorHAnsi" w:hAnsiTheme="minorHAnsi" w:eastAsiaTheme="minorEastAsia" w:cstheme="minorBidi"/>
                <w:lang w:val="en-US" w:eastAsia="zh-Hans"/>
              </w:rPr>
            </w:pPr>
            <w:r>
              <w:rPr>
                <w:rFonts w:ascii="仿宋_GB2312" w:hAnsi="仿宋_GB2312" w:eastAsia="仿宋_GB2312" w:cs="仿宋_GB2312"/>
              </w:rPr>
              <w:t>属于询价通知书规定询价小组应否决其响应的情形，响应无效条款的。</w:t>
            </w:r>
          </w:p>
        </w:tc>
      </w:tr>
      <w:tr w14:paraId="64C0D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79148B10">
            <w:pPr>
              <w:pStyle w:val="10"/>
              <w:jc w:val="center"/>
              <w:rPr>
                <w:rFonts w:hint="eastAsia" w:asciiTheme="minorHAnsi" w:hAnsiTheme="minorHAnsi" w:eastAsiaTheme="minorEastAsia" w:cstheme="minorBidi"/>
                <w:lang w:val="en-US" w:eastAsia="zh-Hans"/>
              </w:rPr>
            </w:pPr>
            <w:r>
              <w:rPr>
                <w:rFonts w:ascii="仿宋_GB2312" w:hAnsi="仿宋_GB2312" w:eastAsia="仿宋_GB2312" w:cs="仿宋_GB2312"/>
              </w:rPr>
              <w:t>其他情形2</w:t>
            </w:r>
          </w:p>
        </w:tc>
        <w:tc>
          <w:tcPr>
            <w:tcW w:w="0" w:type="auto"/>
            <w:vAlign w:val="center"/>
          </w:tcPr>
          <w:p w14:paraId="21CC5AA6">
            <w:pPr>
              <w:pStyle w:val="10"/>
              <w:jc w:val="center"/>
            </w:pPr>
            <w:r>
              <w:rPr>
                <w:rFonts w:ascii="仿宋_GB2312" w:hAnsi="仿宋_GB2312" w:eastAsia="仿宋_GB2312" w:cs="仿宋_GB2312"/>
              </w:rPr>
              <w:t>是</w:t>
            </w:r>
          </w:p>
        </w:tc>
        <w:tc>
          <w:tcPr>
            <w:tcW w:w="0" w:type="auto"/>
            <w:shd w:val="clear" w:color="auto" w:fill="auto"/>
            <w:vAlign w:val="center"/>
          </w:tcPr>
          <w:p w14:paraId="08595265">
            <w:pPr>
              <w:pStyle w:val="10"/>
              <w:jc w:val="both"/>
              <w:rPr>
                <w:rFonts w:hint="eastAsia" w:asciiTheme="minorHAnsi" w:hAnsiTheme="minorHAnsi" w:eastAsiaTheme="minorEastAsia" w:cstheme="minorBidi"/>
                <w:lang w:val="en-US" w:eastAsia="zh-Hans"/>
              </w:rPr>
            </w:pPr>
            <w:r>
              <w:rPr>
                <w:rFonts w:ascii="仿宋_GB2312" w:hAnsi="仿宋_GB2312" w:eastAsia="仿宋_GB2312" w:cs="仿宋_GB2312"/>
              </w:rPr>
              <w:t>不符合询价通知书中规定的实质性要求和条件的。</w:t>
            </w:r>
          </w:p>
        </w:tc>
      </w:tr>
      <w:tr w14:paraId="57CF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3BF1F3F">
            <w:pPr>
              <w:pStyle w:val="10"/>
              <w:jc w:val="center"/>
              <w:rPr>
                <w:rFonts w:hint="eastAsia" w:asciiTheme="minorHAnsi" w:hAnsiTheme="minorHAnsi" w:eastAsiaTheme="minorEastAsia" w:cstheme="minorBidi"/>
                <w:lang w:val="en-US" w:eastAsia="zh-Hans"/>
              </w:rPr>
            </w:pPr>
            <w:r>
              <w:rPr>
                <w:rFonts w:ascii="仿宋_GB2312" w:hAnsi="仿宋_GB2312" w:eastAsia="仿宋_GB2312" w:cs="仿宋_GB2312"/>
              </w:rPr>
              <w:t>其他情形3</w:t>
            </w:r>
          </w:p>
        </w:tc>
        <w:tc>
          <w:tcPr>
            <w:tcW w:w="0" w:type="auto"/>
            <w:vAlign w:val="center"/>
          </w:tcPr>
          <w:p w14:paraId="4197B9A5">
            <w:pPr>
              <w:pStyle w:val="10"/>
              <w:jc w:val="center"/>
            </w:pPr>
            <w:r>
              <w:rPr>
                <w:rFonts w:ascii="仿宋_GB2312" w:hAnsi="仿宋_GB2312" w:eastAsia="仿宋_GB2312" w:cs="仿宋_GB2312"/>
              </w:rPr>
              <w:t>是</w:t>
            </w:r>
          </w:p>
        </w:tc>
        <w:tc>
          <w:tcPr>
            <w:tcW w:w="0" w:type="auto"/>
            <w:shd w:val="clear" w:color="auto" w:fill="auto"/>
            <w:vAlign w:val="center"/>
          </w:tcPr>
          <w:p w14:paraId="46BE115D">
            <w:pPr>
              <w:pStyle w:val="10"/>
              <w:jc w:val="both"/>
              <w:rPr>
                <w:rFonts w:hint="eastAsia" w:asciiTheme="minorHAnsi" w:hAnsiTheme="minorHAnsi" w:eastAsiaTheme="minorEastAsia" w:cstheme="minorBidi"/>
                <w:lang w:val="en-US" w:eastAsia="zh-Hans"/>
              </w:rPr>
            </w:pPr>
            <w:r>
              <w:rPr>
                <w:rFonts w:ascii="仿宋_GB2312" w:hAnsi="仿宋_GB2312" w:eastAsia="仿宋_GB2312" w:cs="仿宋_GB2312"/>
              </w:rPr>
              <w:t>属于询价通知书规定“无效响应”或“响应文件无效”或“报价无效”条款的。</w:t>
            </w:r>
          </w:p>
        </w:tc>
      </w:tr>
      <w:tr w14:paraId="79C46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68DE266F">
            <w:pPr>
              <w:pStyle w:val="10"/>
              <w:jc w:val="center"/>
              <w:rPr>
                <w:rFonts w:hint="eastAsia" w:asciiTheme="minorHAnsi" w:hAnsiTheme="minorHAnsi" w:eastAsiaTheme="minorEastAsia" w:cstheme="minorBidi"/>
                <w:lang w:val="en-US" w:eastAsia="zh-Hans"/>
              </w:rPr>
            </w:pPr>
            <w:r>
              <w:rPr>
                <w:rFonts w:ascii="仿宋_GB2312" w:hAnsi="仿宋_GB2312" w:eastAsia="仿宋_GB2312" w:cs="仿宋_GB2312"/>
              </w:rPr>
              <w:t>其他情形4</w:t>
            </w:r>
          </w:p>
        </w:tc>
        <w:tc>
          <w:tcPr>
            <w:tcW w:w="0" w:type="auto"/>
            <w:vAlign w:val="center"/>
          </w:tcPr>
          <w:p w14:paraId="1EF20EFD">
            <w:pPr>
              <w:pStyle w:val="10"/>
              <w:jc w:val="center"/>
            </w:pPr>
            <w:r>
              <w:rPr>
                <w:rFonts w:ascii="仿宋_GB2312" w:hAnsi="仿宋_GB2312" w:eastAsia="仿宋_GB2312" w:cs="仿宋_GB2312"/>
              </w:rPr>
              <w:t>是</w:t>
            </w:r>
          </w:p>
        </w:tc>
        <w:tc>
          <w:tcPr>
            <w:tcW w:w="0" w:type="auto"/>
            <w:shd w:val="clear" w:color="auto" w:fill="auto"/>
            <w:vAlign w:val="center"/>
          </w:tcPr>
          <w:p w14:paraId="69E28045">
            <w:pPr>
              <w:pStyle w:val="10"/>
              <w:jc w:val="both"/>
              <w:rPr>
                <w:rFonts w:hint="eastAsia" w:asciiTheme="minorHAnsi" w:hAnsiTheme="minorHAnsi" w:eastAsiaTheme="minorEastAsia" w:cstheme="minorBidi"/>
                <w:lang w:val="en-US" w:eastAsia="zh-Hans"/>
              </w:rPr>
            </w:pPr>
            <w:r>
              <w:rPr>
                <w:rFonts w:ascii="仿宋_GB2312" w:hAnsi="仿宋_GB2312" w:eastAsia="仿宋_GB2312" w:cs="仿宋_GB2312"/>
              </w:rPr>
              <w:t>供应商响应询价通知书第四章《询价内容及要求》中“三、商务条件”的内容出现负偏离（或未响应）的。</w:t>
            </w:r>
          </w:p>
        </w:tc>
      </w:tr>
      <w:tr w14:paraId="7F80F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FC08152">
            <w:pPr>
              <w:pStyle w:val="10"/>
              <w:jc w:val="center"/>
              <w:rPr>
                <w:rFonts w:hint="eastAsia" w:asciiTheme="minorHAnsi" w:hAnsiTheme="minorHAnsi" w:eastAsiaTheme="minorEastAsia" w:cstheme="minorBidi"/>
                <w:lang w:val="en-US" w:eastAsia="zh-Hans"/>
              </w:rPr>
            </w:pPr>
            <w:r>
              <w:rPr>
                <w:rFonts w:ascii="仿宋_GB2312" w:hAnsi="仿宋_GB2312" w:eastAsia="仿宋_GB2312" w:cs="仿宋_GB2312"/>
              </w:rPr>
              <w:t>其他情形5</w:t>
            </w:r>
          </w:p>
        </w:tc>
        <w:tc>
          <w:tcPr>
            <w:tcW w:w="0" w:type="auto"/>
            <w:vAlign w:val="center"/>
          </w:tcPr>
          <w:p w14:paraId="739FED33">
            <w:pPr>
              <w:pStyle w:val="10"/>
              <w:jc w:val="center"/>
            </w:pPr>
            <w:r>
              <w:rPr>
                <w:rFonts w:ascii="仿宋_GB2312" w:hAnsi="仿宋_GB2312" w:eastAsia="仿宋_GB2312" w:cs="仿宋_GB2312"/>
              </w:rPr>
              <w:t>是</w:t>
            </w:r>
          </w:p>
        </w:tc>
        <w:tc>
          <w:tcPr>
            <w:tcW w:w="0" w:type="auto"/>
            <w:shd w:val="clear" w:color="auto" w:fill="auto"/>
            <w:vAlign w:val="center"/>
          </w:tcPr>
          <w:p w14:paraId="3888536F">
            <w:pPr>
              <w:pStyle w:val="10"/>
              <w:jc w:val="both"/>
              <w:rPr>
                <w:rFonts w:hint="eastAsia" w:asciiTheme="minorHAnsi" w:hAnsiTheme="minorHAnsi" w:eastAsiaTheme="minorEastAsia" w:cstheme="minorBidi"/>
                <w:lang w:val="en-US" w:eastAsia="zh-Hans"/>
              </w:rPr>
            </w:pPr>
            <w:r>
              <w:rPr>
                <w:rFonts w:ascii="仿宋_GB2312" w:hAnsi="仿宋_GB2312" w:eastAsia="仿宋_GB2312" w:cs="仿宋_GB2312"/>
              </w:rPr>
              <w:t>响应文件未按照询价通知书规定要求签署、盖章的。</w:t>
            </w:r>
          </w:p>
        </w:tc>
      </w:tr>
    </w:tbl>
    <w:p w14:paraId="0A388B20">
      <w:pPr>
        <w:pStyle w:val="10"/>
        <w:jc w:val="left"/>
      </w:pPr>
      <w:r>
        <w:rPr>
          <w:rFonts w:ascii="仿宋_GB2312" w:hAnsi="仿宋_GB2312" w:eastAsia="仿宋_GB2312" w:cs="仿宋_GB2312"/>
        </w:rPr>
        <w:t>价格符合性：</w:t>
      </w:r>
    </w:p>
    <w:tbl>
      <w:tblPr>
        <w:tblStyle w:val="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5"/>
        <w:gridCol w:w="1316"/>
        <w:gridCol w:w="7425"/>
      </w:tblGrid>
      <w:tr w14:paraId="3C581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vAlign w:val="center"/>
          </w:tcPr>
          <w:p w14:paraId="18D9B3F7">
            <w:pPr>
              <w:pStyle w:val="10"/>
              <w:jc w:val="center"/>
            </w:pPr>
            <w:r>
              <w:rPr>
                <w:rFonts w:ascii="仿宋_GB2312" w:hAnsi="仿宋_GB2312" w:eastAsia="仿宋_GB2312" w:cs="仿宋_GB2312"/>
              </w:rPr>
              <w:t>情形</w:t>
            </w:r>
          </w:p>
        </w:tc>
        <w:tc>
          <w:tcPr>
            <w:tcW w:w="661" w:type="pct"/>
            <w:vAlign w:val="center"/>
          </w:tcPr>
          <w:p w14:paraId="1CA891C5">
            <w:pPr>
              <w:pStyle w:val="10"/>
              <w:jc w:val="center"/>
            </w:pPr>
            <w:r>
              <w:rPr>
                <w:rFonts w:ascii="仿宋_GB2312" w:hAnsi="仿宋_GB2312" w:eastAsia="仿宋_GB2312" w:cs="仿宋_GB2312"/>
              </w:rPr>
              <w:t>是否客观项</w:t>
            </w:r>
          </w:p>
        </w:tc>
        <w:tc>
          <w:tcPr>
            <w:tcW w:w="3728" w:type="pct"/>
            <w:vAlign w:val="center"/>
          </w:tcPr>
          <w:p w14:paraId="712B599F">
            <w:pPr>
              <w:pStyle w:val="10"/>
              <w:jc w:val="center"/>
            </w:pPr>
            <w:r>
              <w:rPr>
                <w:rFonts w:ascii="仿宋_GB2312" w:hAnsi="仿宋_GB2312" w:eastAsia="仿宋_GB2312" w:cs="仿宋_GB2312"/>
              </w:rPr>
              <w:t>明细</w:t>
            </w:r>
          </w:p>
        </w:tc>
      </w:tr>
      <w:tr w14:paraId="2D56E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shd w:val="clear" w:color="auto" w:fill="auto"/>
            <w:vAlign w:val="center"/>
          </w:tcPr>
          <w:p w14:paraId="6E5E0057">
            <w:pPr>
              <w:pStyle w:val="10"/>
              <w:jc w:val="center"/>
              <w:rPr>
                <w:rFonts w:hint="eastAsia" w:asciiTheme="minorHAnsi" w:hAnsiTheme="minorHAnsi" w:eastAsiaTheme="minorEastAsia" w:cstheme="minorBidi"/>
                <w:lang w:val="en-US" w:eastAsia="zh-Hans"/>
              </w:rPr>
            </w:pPr>
            <w:r>
              <w:rPr>
                <w:rFonts w:ascii="仿宋_GB2312" w:hAnsi="仿宋_GB2312" w:eastAsia="仿宋_GB2312" w:cs="仿宋_GB2312"/>
              </w:rPr>
              <w:t>其他情形1</w:t>
            </w:r>
          </w:p>
        </w:tc>
        <w:tc>
          <w:tcPr>
            <w:tcW w:w="661" w:type="pct"/>
            <w:vAlign w:val="center"/>
          </w:tcPr>
          <w:p w14:paraId="34795AB9">
            <w:pPr>
              <w:pStyle w:val="10"/>
              <w:jc w:val="center"/>
            </w:pPr>
            <w:r>
              <w:rPr>
                <w:rFonts w:ascii="仿宋_GB2312" w:hAnsi="仿宋_GB2312" w:eastAsia="仿宋_GB2312" w:cs="仿宋_GB2312"/>
              </w:rPr>
              <w:t>是</w:t>
            </w:r>
          </w:p>
        </w:tc>
        <w:tc>
          <w:tcPr>
            <w:tcW w:w="3728" w:type="pct"/>
            <w:shd w:val="clear" w:color="auto" w:fill="auto"/>
            <w:vAlign w:val="center"/>
          </w:tcPr>
          <w:p w14:paraId="45853E86">
            <w:pPr>
              <w:pStyle w:val="10"/>
              <w:jc w:val="both"/>
              <w:rPr>
                <w:rFonts w:hint="default" w:asciiTheme="minorHAnsi" w:hAnsiTheme="minorHAnsi" w:eastAsiaTheme="minorEastAsia" w:cstheme="minorBidi"/>
                <w:lang w:val="en-US" w:eastAsia="zh-CN"/>
              </w:rPr>
            </w:pPr>
            <w:r>
              <w:rPr>
                <w:rFonts w:hint="eastAsia" w:ascii="仿宋_GB2312" w:hAnsi="仿宋_GB2312" w:eastAsia="仿宋_GB2312" w:cs="仿宋_GB2312"/>
                <w:lang w:val="en-US" w:eastAsia="zh-CN"/>
              </w:rPr>
              <w:t>供应商的投标报价超过最高限价的。</w:t>
            </w:r>
          </w:p>
        </w:tc>
      </w:tr>
    </w:tbl>
    <w:p w14:paraId="7BDBB254">
      <w:pPr>
        <w:pStyle w:val="10"/>
        <w:ind w:firstLine="480"/>
        <w:jc w:val="both"/>
        <w:rPr>
          <w:rFonts w:ascii="仿宋_GB2312" w:hAnsi="仿宋_GB2312" w:eastAsia="仿宋_GB2312" w:cs="仿宋_GB2312"/>
        </w:rPr>
      </w:pPr>
    </w:p>
    <w:p w14:paraId="0626B91D">
      <w:pPr>
        <w:pStyle w:val="10"/>
        <w:ind w:firstLine="480"/>
        <w:jc w:val="both"/>
      </w:pPr>
      <w:r>
        <w:rPr>
          <w:rFonts w:ascii="仿宋_GB2312" w:hAnsi="仿宋_GB2312" w:eastAsia="仿宋_GB2312" w:cs="仿宋_GB2312"/>
        </w:rPr>
        <w:t>2.2.4响应程度审查</w:t>
      </w:r>
    </w:p>
    <w:p w14:paraId="6ECF5B81">
      <w:pPr>
        <w:pStyle w:val="10"/>
        <w:ind w:firstLine="480"/>
        <w:jc w:val="both"/>
      </w:pPr>
      <w:r>
        <w:rPr>
          <w:rFonts w:ascii="仿宋_GB2312" w:hAnsi="仿宋_GB2312" w:eastAsia="仿宋_GB2312" w:cs="仿宋_GB2312"/>
        </w:rPr>
        <w:t>（1）审查响应文件是否与询价通知书要求的实质性条款、条件和规格相符。</w:t>
      </w:r>
    </w:p>
    <w:p w14:paraId="63B6214E">
      <w:pPr>
        <w:pStyle w:val="10"/>
        <w:ind w:firstLine="480"/>
        <w:jc w:val="both"/>
      </w:pPr>
      <w:r>
        <w:rPr>
          <w:rFonts w:ascii="仿宋_GB2312" w:hAnsi="仿宋_GB2312" w:eastAsia="仿宋_GB2312" w:cs="仿宋_GB2312"/>
        </w:rPr>
        <w:t>（2）响应文件是否实质性响应询价通知书，由询价小组依据询价通知书规定和响应文件内容认定。有任一项实质性要求条款偏离的，视为无效响应。</w:t>
      </w:r>
    </w:p>
    <w:p w14:paraId="55D4C686">
      <w:pPr>
        <w:pStyle w:val="10"/>
        <w:ind w:firstLine="480"/>
        <w:jc w:val="both"/>
      </w:pPr>
      <w:r>
        <w:rPr>
          <w:rFonts w:ascii="仿宋_GB2312" w:hAnsi="仿宋_GB2312" w:eastAsia="仿宋_GB2312" w:cs="仿宋_GB2312"/>
        </w:rPr>
        <w:t>2.2.5澄清</w:t>
      </w:r>
    </w:p>
    <w:p w14:paraId="3253E0F6">
      <w:pPr>
        <w:pStyle w:val="10"/>
        <w:ind w:firstLine="480"/>
        <w:jc w:val="both"/>
      </w:pPr>
      <w:r>
        <w:rPr>
          <w:rFonts w:ascii="仿宋_GB2312" w:hAnsi="仿宋_GB2312" w:eastAsia="仿宋_GB2312" w:cs="仿宋_GB2312"/>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14:paraId="0EC3CCAD">
      <w:pPr>
        <w:pStyle w:val="10"/>
        <w:ind w:firstLine="480"/>
        <w:jc w:val="both"/>
      </w:pPr>
      <w:r>
        <w:rPr>
          <w:rFonts w:ascii="仿宋_GB2312" w:hAnsi="仿宋_GB2312" w:eastAsia="仿宋_GB2312" w:cs="仿宋_GB2312"/>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14:paraId="180A8290">
      <w:pPr>
        <w:pStyle w:val="10"/>
        <w:ind w:firstLine="480"/>
        <w:jc w:val="both"/>
      </w:pPr>
      <w:r>
        <w:rPr>
          <w:rFonts w:ascii="仿宋_GB2312" w:hAnsi="仿宋_GB2312" w:eastAsia="仿宋_GB2312" w:cs="仿宋_GB2312"/>
        </w:rPr>
        <w:t>（3）关于报价计算错误修正的原则</w:t>
      </w:r>
    </w:p>
    <w:p w14:paraId="163DFFA5">
      <w:pPr>
        <w:pStyle w:val="10"/>
        <w:ind w:firstLine="480"/>
        <w:jc w:val="both"/>
      </w:pPr>
      <w:r>
        <w:rPr>
          <w:rFonts w:ascii="仿宋_GB2312" w:hAnsi="仿宋_GB2312" w:eastAsia="仿宋_GB2312" w:cs="仿宋_GB2312"/>
        </w:rPr>
        <w:t>①开标（报价）一览表内容与分项报价表内容不一致的，以开标（报价）一览表为准；</w:t>
      </w:r>
    </w:p>
    <w:p w14:paraId="70BE3F71">
      <w:pPr>
        <w:pStyle w:val="10"/>
        <w:ind w:firstLine="480"/>
        <w:jc w:val="both"/>
      </w:pPr>
      <w:r>
        <w:rPr>
          <w:rFonts w:ascii="仿宋_GB2312" w:hAnsi="仿宋_GB2312" w:eastAsia="仿宋_GB2312" w:cs="仿宋_GB2312"/>
        </w:rPr>
        <w:t>②大写金额和小写金额不一致的，以大写金额为准；</w:t>
      </w:r>
    </w:p>
    <w:p w14:paraId="2FDEFE9D">
      <w:pPr>
        <w:pStyle w:val="10"/>
        <w:ind w:firstLine="480"/>
        <w:jc w:val="both"/>
      </w:pPr>
      <w:r>
        <w:rPr>
          <w:rFonts w:ascii="仿宋_GB2312" w:hAnsi="仿宋_GB2312" w:eastAsia="仿宋_GB2312" w:cs="仿宋_GB2312"/>
        </w:rPr>
        <w:t>③单价金额小数点或百分比有明显错位的，以开标（报价）一览表的总价为准，并修改单价。</w:t>
      </w:r>
    </w:p>
    <w:p w14:paraId="324323A2">
      <w:pPr>
        <w:pStyle w:val="10"/>
        <w:ind w:firstLine="480"/>
        <w:jc w:val="both"/>
      </w:pPr>
      <w:r>
        <w:rPr>
          <w:rFonts w:ascii="仿宋_GB2312" w:hAnsi="仿宋_GB2312" w:eastAsia="仿宋_GB2312" w:cs="仿宋_GB2312"/>
        </w:rPr>
        <w:t>④总价金额与按单价汇总金额不一致的，以单价金额计算结果为准；</w:t>
      </w:r>
    </w:p>
    <w:p w14:paraId="0A0AE54C">
      <w:pPr>
        <w:pStyle w:val="10"/>
        <w:ind w:firstLine="480"/>
        <w:jc w:val="both"/>
      </w:pPr>
      <w:r>
        <w:rPr>
          <w:rFonts w:ascii="仿宋_GB2312" w:hAnsi="仿宋_GB2312" w:eastAsia="仿宋_GB2312" w:cs="仿宋_GB2312"/>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w:t>
      </w:r>
    </w:p>
    <w:p w14:paraId="3EC4FDB4">
      <w:pPr>
        <w:pStyle w:val="10"/>
        <w:ind w:firstLine="480"/>
        <w:jc w:val="both"/>
      </w:pPr>
      <w:r>
        <w:rPr>
          <w:rFonts w:ascii="仿宋_GB2312" w:hAnsi="仿宋_GB2312" w:eastAsia="仿宋_GB2312" w:cs="仿宋_GB2312"/>
        </w:rPr>
        <w:t>（4）关于细微偏差</w:t>
      </w:r>
    </w:p>
    <w:p w14:paraId="37843247">
      <w:pPr>
        <w:pStyle w:val="10"/>
        <w:ind w:firstLine="480"/>
        <w:jc w:val="both"/>
      </w:pPr>
      <w:r>
        <w:rPr>
          <w:rFonts w:ascii="仿宋_GB2312" w:hAnsi="仿宋_GB2312" w:eastAsia="仿宋_GB2312" w:cs="仿宋_GB2312"/>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14:paraId="2067E3A3">
      <w:pPr>
        <w:pStyle w:val="10"/>
        <w:ind w:firstLine="480"/>
        <w:jc w:val="both"/>
      </w:pPr>
      <w:r>
        <w:rPr>
          <w:rFonts w:ascii="仿宋_GB2312" w:hAnsi="仿宋_GB2312" w:eastAsia="仿宋_GB2312" w:cs="仿宋_GB2312"/>
        </w:rPr>
        <w:t>②询价小组将以书面形式要求存在细微偏差的供应商在询价小组规定的时间内予以补正。若无法补正，则询价小组将按照不利于供应商的内容进行认定。</w:t>
      </w:r>
    </w:p>
    <w:p w14:paraId="18E4E65B">
      <w:pPr>
        <w:pStyle w:val="10"/>
        <w:ind w:firstLine="480"/>
        <w:jc w:val="both"/>
      </w:pPr>
      <w:r>
        <w:rPr>
          <w:rFonts w:ascii="仿宋_GB2312" w:hAnsi="仿宋_GB2312" w:eastAsia="仿宋_GB2312" w:cs="仿宋_GB2312"/>
        </w:rPr>
        <w:t>（5）关于响应描述（即响应文件中描述的内容）</w:t>
      </w:r>
    </w:p>
    <w:p w14:paraId="133EBA03">
      <w:pPr>
        <w:pStyle w:val="10"/>
        <w:ind w:firstLine="480"/>
        <w:jc w:val="both"/>
      </w:pPr>
      <w:r>
        <w:rPr>
          <w:rFonts w:ascii="仿宋_GB2312" w:hAnsi="仿宋_GB2312" w:eastAsia="仿宋_GB2312" w:cs="仿宋_GB2312"/>
        </w:rPr>
        <w:t>①响应描述前后不一致且不涉及证明材料的：按照本章第2.2.5条第（1）、（2）款规定执行。</w:t>
      </w:r>
    </w:p>
    <w:p w14:paraId="075BAC96">
      <w:pPr>
        <w:pStyle w:val="10"/>
        <w:ind w:firstLine="480"/>
        <w:jc w:val="both"/>
      </w:pPr>
      <w:r>
        <w:rPr>
          <w:rFonts w:ascii="仿宋_GB2312" w:hAnsi="仿宋_GB2312" w:eastAsia="仿宋_GB2312" w:cs="仿宋_GB2312"/>
        </w:rPr>
        <w:t>②响应描述与证明材料不一致或多份证明材料之间不一致的：</w:t>
      </w:r>
    </w:p>
    <w:p w14:paraId="543E6449">
      <w:pPr>
        <w:pStyle w:val="10"/>
        <w:ind w:firstLine="480"/>
        <w:jc w:val="both"/>
      </w:pPr>
      <w:r>
        <w:rPr>
          <w:rFonts w:ascii="仿宋_GB2312" w:hAnsi="仿宋_GB2312" w:eastAsia="仿宋_GB2312" w:cs="仿宋_GB2312"/>
        </w:rPr>
        <w:t>a.询价小组将要求供应商进行书面澄清，并按照不利于供应商的内容进行评审。</w:t>
      </w:r>
    </w:p>
    <w:p w14:paraId="25A2D0CA">
      <w:pPr>
        <w:pStyle w:val="10"/>
        <w:ind w:firstLine="480"/>
        <w:jc w:val="both"/>
      </w:pPr>
      <w:r>
        <w:rPr>
          <w:rFonts w:ascii="仿宋_GB2312" w:hAnsi="仿宋_GB2312" w:eastAsia="仿宋_GB2312" w:cs="仿宋_GB2312"/>
        </w:rPr>
        <w:t>b.供应商按要求进行澄清的，采购人以澄清内容为准进行验收；供应商未按要求进行澄清的，采购人以响应描述或证明材料中有利于采购人的内容进行验收。供应商应对证明材料的真实性、有效性承担责任。</w:t>
      </w:r>
    </w:p>
    <w:p w14:paraId="5FAA5149">
      <w:pPr>
        <w:pStyle w:val="10"/>
        <w:ind w:firstLine="480"/>
        <w:jc w:val="both"/>
      </w:pPr>
      <w:r>
        <w:rPr>
          <w:rFonts w:ascii="仿宋_GB2312" w:hAnsi="仿宋_GB2312" w:eastAsia="仿宋_GB2312" w:cs="仿宋_GB2312"/>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14:paraId="71C9489B">
      <w:pPr>
        <w:pStyle w:val="10"/>
        <w:ind w:firstLine="480"/>
        <w:jc w:val="both"/>
      </w:pPr>
      <w:r>
        <w:rPr>
          <w:rFonts w:ascii="仿宋_GB2312" w:hAnsi="仿宋_GB2312" w:eastAsia="仿宋_GB2312" w:cs="仿宋_GB2312"/>
        </w:rPr>
        <w:t>④响应文件提供的全部资料中，若原件属于非中文描述，但响应文件未提供中文译本或提供的中文译本不符合询价通知书第二章第9.3条第（2）款规定，则该资料视为无效。</w:t>
      </w:r>
    </w:p>
    <w:p w14:paraId="36C748B7">
      <w:pPr>
        <w:pStyle w:val="10"/>
        <w:ind w:firstLine="480"/>
        <w:jc w:val="both"/>
      </w:pPr>
      <w:r>
        <w:rPr>
          <w:rFonts w:ascii="仿宋_GB2312" w:hAnsi="仿宋_GB2312" w:eastAsia="仿宋_GB2312" w:cs="仿宋_GB2312"/>
        </w:rPr>
        <w:t>2.2.6询价</w:t>
      </w:r>
    </w:p>
    <w:p w14:paraId="06A1574C">
      <w:pPr>
        <w:pStyle w:val="10"/>
        <w:ind w:firstLine="480"/>
        <w:jc w:val="both"/>
      </w:pPr>
      <w:r>
        <w:rPr>
          <w:rFonts w:ascii="仿宋_GB2312" w:hAnsi="仿宋_GB2312" w:eastAsia="仿宋_GB2312" w:cs="仿宋_GB2312"/>
        </w:rPr>
        <w:t>（1）询价小组在询价过程中，不得改变询价通知书所确定的技术和服务等要求、评审程序、评定成交的标准和合同文本等事项。</w:t>
      </w:r>
    </w:p>
    <w:p w14:paraId="6BDBC1FA">
      <w:pPr>
        <w:pStyle w:val="10"/>
        <w:ind w:firstLine="480"/>
        <w:jc w:val="both"/>
      </w:pPr>
      <w:r>
        <w:rPr>
          <w:rFonts w:ascii="仿宋_GB2312" w:hAnsi="仿宋_GB2312" w:eastAsia="仿宋_GB2312" w:cs="仿宋_GB2312"/>
        </w:rPr>
        <w:t>（2）关于同品牌同型号产品规定：对单一品目或报价核心产品多家供应商用同一品牌同一型号产品参加同一个项目报价的，应作为一家供应商计算。</w:t>
      </w:r>
    </w:p>
    <w:p w14:paraId="3BF0B94E">
      <w:pPr>
        <w:pStyle w:val="10"/>
        <w:ind w:firstLine="480"/>
        <w:jc w:val="both"/>
      </w:pPr>
      <w:r>
        <w:rPr>
          <w:rFonts w:ascii="仿宋_GB2312" w:hAnsi="仿宋_GB2312" w:eastAsia="仿宋_GB2312" w:cs="仿宋_GB2312"/>
        </w:rPr>
        <w:t>（3）漏（缺）项</w:t>
      </w:r>
    </w:p>
    <w:p w14:paraId="6BF7771A">
      <w:pPr>
        <w:pStyle w:val="10"/>
        <w:ind w:firstLine="480"/>
        <w:jc w:val="both"/>
      </w:pPr>
      <w:r>
        <w:rPr>
          <w:rFonts w:ascii="仿宋_GB2312" w:hAnsi="仿宋_GB2312" w:eastAsia="仿宋_GB2312" w:cs="仿宋_GB2312"/>
        </w:rPr>
        <w:t>①询价通知书中要求列入报价的费用（含配置、功能），漏（缺）项的报价视为已经包括在报价总价中。</w:t>
      </w:r>
    </w:p>
    <w:p w14:paraId="4DAA8D0D">
      <w:pPr>
        <w:pStyle w:val="10"/>
        <w:ind w:firstLine="480"/>
        <w:jc w:val="both"/>
      </w:pPr>
      <w:r>
        <w:rPr>
          <w:rFonts w:ascii="仿宋_GB2312" w:hAnsi="仿宋_GB2312" w:eastAsia="仿宋_GB2312" w:cs="仿宋_GB2312"/>
        </w:rPr>
        <w:t>②对多报项及赠送项的价格评审时不予核减，全部进入评审价评议。</w:t>
      </w:r>
    </w:p>
    <w:p w14:paraId="5FC3034E">
      <w:pPr>
        <w:pStyle w:val="10"/>
        <w:ind w:firstLine="480"/>
        <w:jc w:val="both"/>
      </w:pPr>
      <w:r>
        <w:rPr>
          <w:rFonts w:ascii="仿宋_GB2312" w:hAnsi="仿宋_GB2312" w:eastAsia="仿宋_GB2312" w:cs="仿宋_GB2312"/>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14:paraId="50058BDF">
      <w:pPr>
        <w:pStyle w:val="10"/>
        <w:ind w:firstLine="480"/>
        <w:jc w:val="both"/>
      </w:pPr>
      <w:r>
        <w:rPr>
          <w:rFonts w:ascii="仿宋_GB2312" w:hAnsi="仿宋_GB2312" w:eastAsia="仿宋_GB2312" w:cs="仿宋_GB2312"/>
        </w:rPr>
        <w:t>2.2.7推荐成交候选人</w:t>
      </w:r>
    </w:p>
    <w:p w14:paraId="1A777A0D">
      <w:pPr>
        <w:pStyle w:val="10"/>
        <w:ind w:firstLine="480"/>
        <w:jc w:val="left"/>
      </w:pPr>
      <w:r>
        <w:rPr>
          <w:rFonts w:ascii="仿宋_GB2312" w:hAnsi="仿宋_GB2312" w:eastAsia="仿宋_GB2312" w:cs="仿宋_GB2312"/>
        </w:rPr>
        <w:t>采购包1：最低评标价法</w:t>
      </w:r>
    </w:p>
    <w:p w14:paraId="730FE1CD">
      <w:pPr>
        <w:pStyle w:val="10"/>
        <w:jc w:val="left"/>
      </w:pPr>
      <w:r>
        <w:rPr>
          <w:rFonts w:ascii="仿宋_GB2312" w:hAnsi="仿宋_GB2312" w:eastAsia="仿宋_GB2312" w:cs="仿宋_GB2312"/>
        </w:rPr>
        <w:t>响应文件满足询价通知书全部实质性要求，且响应报价最低的供应商为成交候选供应商。</w:t>
      </w:r>
    </w:p>
    <w:p w14:paraId="3EC317E3">
      <w:pPr>
        <w:pStyle w:val="10"/>
        <w:jc w:val="left"/>
      </w:pPr>
      <w:r>
        <w:rPr>
          <w:rFonts w:ascii="仿宋_GB2312" w:hAnsi="仿宋_GB2312" w:eastAsia="仿宋_GB2312" w:cs="仿宋_GB2312"/>
        </w:rPr>
        <w:t>价格扣除的规则如下：</w:t>
      </w:r>
    </w:p>
    <w:p w14:paraId="5D8B2A6F">
      <w:pPr>
        <w:pStyle w:val="10"/>
        <w:jc w:val="left"/>
      </w:pPr>
      <w:r>
        <w:rPr>
          <w:rFonts w:ascii="仿宋_GB2312" w:hAnsi="仿宋_GB2312" w:eastAsia="仿宋_GB2312" w:cs="仿宋_GB2312"/>
        </w:rPr>
        <w:t>小型、微型企业产品</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7"/>
        <w:gridCol w:w="1079"/>
        <w:gridCol w:w="639"/>
        <w:gridCol w:w="7347"/>
      </w:tblGrid>
      <w:tr w14:paraId="470E0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vAlign w:val="center"/>
          </w:tcPr>
          <w:p w14:paraId="0F2062C5">
            <w:pPr>
              <w:pStyle w:val="10"/>
              <w:jc w:val="center"/>
            </w:pPr>
            <w:r>
              <w:rPr>
                <w:rFonts w:ascii="仿宋_GB2312" w:hAnsi="仿宋_GB2312" w:eastAsia="仿宋_GB2312" w:cs="仿宋_GB2312"/>
              </w:rPr>
              <w:t>项目</w:t>
            </w:r>
          </w:p>
        </w:tc>
        <w:tc>
          <w:tcPr>
            <w:tcW w:w="541" w:type="pct"/>
            <w:vAlign w:val="center"/>
          </w:tcPr>
          <w:p w14:paraId="723EEE45">
            <w:pPr>
              <w:pStyle w:val="10"/>
              <w:jc w:val="center"/>
            </w:pPr>
            <w:r>
              <w:rPr>
                <w:rFonts w:ascii="仿宋_GB2312" w:hAnsi="仿宋_GB2312" w:eastAsia="仿宋_GB2312" w:cs="仿宋_GB2312"/>
              </w:rPr>
              <w:t>适用对象</w:t>
            </w:r>
          </w:p>
        </w:tc>
        <w:tc>
          <w:tcPr>
            <w:tcW w:w="320" w:type="pct"/>
            <w:vAlign w:val="center"/>
          </w:tcPr>
          <w:p w14:paraId="101CE011">
            <w:pPr>
              <w:pStyle w:val="10"/>
              <w:jc w:val="center"/>
            </w:pPr>
            <w:r>
              <w:rPr>
                <w:rFonts w:ascii="仿宋_GB2312" w:hAnsi="仿宋_GB2312" w:eastAsia="仿宋_GB2312" w:cs="仿宋_GB2312"/>
              </w:rPr>
              <w:t>比例</w:t>
            </w:r>
          </w:p>
        </w:tc>
        <w:tc>
          <w:tcPr>
            <w:tcW w:w="3687" w:type="pct"/>
            <w:vAlign w:val="center"/>
          </w:tcPr>
          <w:p w14:paraId="78A4E5AA">
            <w:pPr>
              <w:pStyle w:val="10"/>
              <w:jc w:val="center"/>
            </w:pPr>
            <w:r>
              <w:rPr>
                <w:rFonts w:ascii="仿宋_GB2312" w:hAnsi="仿宋_GB2312" w:eastAsia="仿宋_GB2312" w:cs="仿宋_GB2312"/>
              </w:rPr>
              <w:t>描述</w:t>
            </w:r>
          </w:p>
        </w:tc>
      </w:tr>
      <w:tr w14:paraId="69418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vAlign w:val="center"/>
          </w:tcPr>
          <w:p w14:paraId="600395EF">
            <w:pPr>
              <w:pStyle w:val="10"/>
              <w:jc w:val="center"/>
            </w:pPr>
            <w:r>
              <w:rPr>
                <w:rFonts w:ascii="仿宋_GB2312" w:hAnsi="仿宋_GB2312" w:eastAsia="仿宋_GB2312" w:cs="仿宋_GB2312"/>
              </w:rPr>
              <w:t>小型、微型企业，监狱企业，残疾人福利性单位</w:t>
            </w:r>
          </w:p>
        </w:tc>
        <w:tc>
          <w:tcPr>
            <w:tcW w:w="541" w:type="pct"/>
            <w:vAlign w:val="center"/>
          </w:tcPr>
          <w:p w14:paraId="4C9C1B84">
            <w:pPr>
              <w:pStyle w:val="10"/>
              <w:jc w:val="center"/>
            </w:pPr>
            <w:r>
              <w:rPr>
                <w:rFonts w:ascii="仿宋_GB2312" w:hAnsi="仿宋_GB2312" w:eastAsia="仿宋_GB2312" w:cs="仿宋_GB2312"/>
              </w:rPr>
              <w:t>投标人或者联合体均为小型、微型企业</w:t>
            </w:r>
          </w:p>
        </w:tc>
        <w:tc>
          <w:tcPr>
            <w:tcW w:w="320" w:type="pct"/>
            <w:vAlign w:val="center"/>
          </w:tcPr>
          <w:p w14:paraId="73007892">
            <w:pPr>
              <w:pStyle w:val="10"/>
              <w:jc w:val="center"/>
            </w:pPr>
            <w:r>
              <w:rPr>
                <w:rFonts w:ascii="仿宋_GB2312" w:hAnsi="仿宋_GB2312" w:eastAsia="仿宋_GB2312" w:cs="仿宋_GB2312"/>
              </w:rPr>
              <w:t>15.00%</w:t>
            </w:r>
          </w:p>
        </w:tc>
        <w:tc>
          <w:tcPr>
            <w:tcW w:w="3687" w:type="pct"/>
          </w:tcPr>
          <w:p w14:paraId="7901E44D">
            <w:pPr>
              <w:pStyle w:val="10"/>
              <w:jc w:val="left"/>
            </w:pPr>
            <w:r>
              <w:rPr>
                <w:rFonts w:ascii="仿宋_GB2312" w:hAnsi="仿宋_GB2312" w:eastAsia="仿宋_GB2312" w:cs="仿宋_GB2312"/>
              </w:rPr>
              <w:t xml:space="preserve">（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w:t>
            </w:r>
            <w:r>
              <w:rPr>
                <w:rFonts w:ascii="仿宋_GB2312" w:hAnsi="仿宋_GB2312" w:eastAsia="仿宋_GB2312" w:cs="仿宋_GB2312"/>
                <w:b/>
                <w:bCs/>
              </w:rPr>
              <w:t>注：1、本采购包为货物类采购项目，采购标的对应的中小企业划分标准所属行业为“工业”（事业单位、社会组织等非企业单位不适用本条规定），供应商应对应填写《中小企业声明函》(货物)模板；若供应商填写的《中小企业声明函》不是对应模板的或者提供的《中小企业声明函》中填写的行业与询价通知书明确的采购标的对应的中小企业划分标准所属行业不一致，均不予认定为小、微企业，不予价格扣除。</w:t>
            </w:r>
            <w:r>
              <w:rPr>
                <w:rFonts w:ascii="仿宋_GB2312" w:hAnsi="仿宋_GB2312" w:eastAsia="仿宋_GB2312" w:cs="仿宋_GB2312"/>
              </w:rPr>
              <w:t xml:space="preserve"> 2、依据本办法规定享受扶持政策获得政府采购合同的，小微企业不得将合同分包给大中型企业，中型企业不得将合同分包给大型企业。 3、供应商提供声明函内容不实的或提供虚假证明文件的，均属于提供虚假材料谋取中标、成交，一经发现将依照《中华人民共和国政府采购法》等国家有关规定追究相应责任。</w:t>
            </w:r>
          </w:p>
        </w:tc>
      </w:tr>
    </w:tbl>
    <w:p w14:paraId="1951E994">
      <w:pPr>
        <w:pStyle w:val="10"/>
        <w:jc w:val="left"/>
      </w:pPr>
      <w:r>
        <w:rPr>
          <w:rFonts w:ascii="仿宋_GB2312" w:hAnsi="仿宋_GB2312" w:eastAsia="仿宋_GB2312" w:cs="仿宋_GB2312"/>
        </w:rPr>
        <w:t>优先类节能产品、环境标志产品的价格扣除规则如下</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2"/>
        <w:gridCol w:w="816"/>
        <w:gridCol w:w="8204"/>
      </w:tblGrid>
      <w:tr w14:paraId="13A57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pct"/>
            <w:vAlign w:val="center"/>
          </w:tcPr>
          <w:p w14:paraId="3BEADF1E">
            <w:pPr>
              <w:pStyle w:val="10"/>
              <w:jc w:val="center"/>
            </w:pPr>
            <w:r>
              <w:rPr>
                <w:rFonts w:ascii="仿宋_GB2312" w:hAnsi="仿宋_GB2312" w:eastAsia="仿宋_GB2312" w:cs="仿宋_GB2312"/>
              </w:rPr>
              <w:t>项目</w:t>
            </w:r>
          </w:p>
        </w:tc>
        <w:tc>
          <w:tcPr>
            <w:tcW w:w="409" w:type="pct"/>
            <w:vAlign w:val="center"/>
          </w:tcPr>
          <w:p w14:paraId="47C8D011">
            <w:pPr>
              <w:pStyle w:val="10"/>
              <w:jc w:val="center"/>
            </w:pPr>
            <w:r>
              <w:rPr>
                <w:rFonts w:ascii="仿宋_GB2312" w:hAnsi="仿宋_GB2312" w:eastAsia="仿宋_GB2312" w:cs="仿宋_GB2312"/>
              </w:rPr>
              <w:t>比例</w:t>
            </w:r>
          </w:p>
        </w:tc>
        <w:tc>
          <w:tcPr>
            <w:tcW w:w="4116" w:type="pct"/>
            <w:vAlign w:val="center"/>
          </w:tcPr>
          <w:p w14:paraId="1A920305">
            <w:pPr>
              <w:pStyle w:val="10"/>
              <w:jc w:val="left"/>
            </w:pPr>
            <w:r>
              <w:rPr>
                <w:rFonts w:ascii="仿宋_GB2312" w:hAnsi="仿宋_GB2312" w:eastAsia="仿宋_GB2312" w:cs="仿宋_GB2312"/>
              </w:rPr>
              <w:t xml:space="preserve"> 方法</w:t>
            </w:r>
          </w:p>
        </w:tc>
      </w:tr>
      <w:tr w14:paraId="52844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pct"/>
            <w:vAlign w:val="center"/>
          </w:tcPr>
          <w:p w14:paraId="116A5D92">
            <w:pPr>
              <w:pStyle w:val="10"/>
              <w:jc w:val="center"/>
            </w:pPr>
            <w:r>
              <w:rPr>
                <w:rFonts w:ascii="仿宋_GB2312" w:hAnsi="仿宋_GB2312" w:eastAsia="仿宋_GB2312" w:cs="仿宋_GB2312"/>
              </w:rPr>
              <w:t>节能、环境标志产品</w:t>
            </w:r>
          </w:p>
        </w:tc>
        <w:tc>
          <w:tcPr>
            <w:tcW w:w="409" w:type="pct"/>
            <w:vAlign w:val="center"/>
          </w:tcPr>
          <w:p w14:paraId="3421EEED">
            <w:pPr>
              <w:pStyle w:val="10"/>
              <w:jc w:val="center"/>
            </w:pPr>
            <w:r>
              <w:rPr>
                <w:rFonts w:ascii="仿宋_GB2312" w:hAnsi="仿宋_GB2312" w:eastAsia="仿宋_GB2312" w:cs="仿宋_GB2312"/>
              </w:rPr>
              <w:t>10.00%</w:t>
            </w:r>
          </w:p>
        </w:tc>
        <w:tc>
          <w:tcPr>
            <w:tcW w:w="4116" w:type="pct"/>
          </w:tcPr>
          <w:p w14:paraId="7B62EDAF">
            <w:pPr>
              <w:pStyle w:val="10"/>
              <w:jc w:val="left"/>
            </w:pPr>
            <w:r>
              <w:rPr>
                <w:rFonts w:ascii="仿宋_GB2312" w:hAnsi="仿宋_GB2312" w:eastAsia="仿宋_GB2312" w:cs="仿宋_GB2312"/>
              </w:rPr>
              <w:t>(1)执行财政部 发展改革委 生态环境部 市场监管总局印发《关于调整优化节能产品、环境标志产品政府采购执行机制的通知》(财库〔2019〕9号)的规定。(2)节能(非强制类产品)、环境标志产品评审优惠内容及幅度如下：①对节能产品、环境标志产品政府采购品目清单范围内，实施优先采购的产品，给予产品价格报价10%的扣除，用扣除后的价格参加评审。采购标的同时包含其它非优先采购产品的，供应商在报价时必须对优先采购产品和非优先采购产品分项报价、单独填写扣除表，并提供国家确定的认证机构出具的、处于有效期之内的节能产品、环境标志产品认证证书复印件附在报价部分且加盖供应商公章。优先采购产品和非优先采购产品未单独分项报价或未提供产品认证证书复印件的不给予价格扣除。非优先采购产品的报价不享受给予节能产品、环境标志产品的价格扣除优惠。②对于同时属于环境标志和节能的产品，应当优先于只获得其中一项认证的产品。若节能、环境标志产品仅是构成投标产品的部件、组件或零件的，则该投标产品不享受鼓励优惠政策。询价小组审查此项响应性只根据响应文件本身的内容，而不寻求其他的外部证据。</w:t>
            </w:r>
          </w:p>
        </w:tc>
      </w:tr>
    </w:tbl>
    <w:p w14:paraId="1FF47F48">
      <w:pPr>
        <w:pStyle w:val="10"/>
        <w:jc w:val="left"/>
      </w:pPr>
      <w:r>
        <w:rPr>
          <w:rFonts w:ascii="仿宋_GB2312" w:hAnsi="仿宋_GB2312" w:eastAsia="仿宋_GB2312" w:cs="仿宋_GB2312"/>
        </w:rPr>
        <w:t>其他：无</w:t>
      </w:r>
    </w:p>
    <w:p w14:paraId="2EC29A6F">
      <w:pPr>
        <w:pStyle w:val="10"/>
        <w:jc w:val="left"/>
      </w:pPr>
      <w:r>
        <w:rPr>
          <w:rFonts w:ascii="仿宋_GB2312" w:hAnsi="仿宋_GB2312" w:eastAsia="仿宋_GB2312" w:cs="仿宋_GB2312"/>
        </w:rPr>
        <w:t>※除本章2.2.5条款规定情形和落实政府采购政策需进行的价格扣除情形外，不能对供应商的报价进行任何调整。</w:t>
      </w:r>
    </w:p>
    <w:p w14:paraId="325CEDFF">
      <w:pPr>
        <w:pStyle w:val="10"/>
        <w:jc w:val="left"/>
      </w:pPr>
      <w:r>
        <w:rPr>
          <w:rFonts w:ascii="仿宋_GB2312" w:hAnsi="仿宋_GB2312" w:eastAsia="仿宋_GB2312" w:cs="仿宋_GB2312"/>
        </w:rPr>
        <w:t>（3）成交候选供应商排列规则顺序如下：</w:t>
      </w:r>
    </w:p>
    <w:p w14:paraId="76ECB544">
      <w:pPr>
        <w:pStyle w:val="10"/>
        <w:jc w:val="left"/>
      </w:pPr>
      <w:r>
        <w:rPr>
          <w:rFonts w:ascii="仿宋_GB2312" w:hAnsi="仿宋_GB2312" w:eastAsia="仿宋_GB2312" w:cs="仿宋_GB2312"/>
        </w:rPr>
        <w:t>a.按照评审价（即价格扣除后的响应报价）由低到高顺序排列。</w:t>
      </w:r>
    </w:p>
    <w:p w14:paraId="4F88B090">
      <w:pPr>
        <w:pStyle w:val="10"/>
        <w:jc w:val="left"/>
      </w:pPr>
      <w:r>
        <w:rPr>
          <w:rFonts w:ascii="仿宋_GB2312" w:hAnsi="仿宋_GB2312" w:eastAsia="仿宋_GB2312" w:cs="仿宋_GB2312"/>
        </w:rPr>
        <w:t>b.评审价相同的并列。</w:t>
      </w:r>
    </w:p>
    <w:p w14:paraId="7A92F9FD">
      <w:pPr>
        <w:pStyle w:val="10"/>
        <w:jc w:val="left"/>
      </w:pPr>
      <w:r>
        <w:rPr>
          <w:rFonts w:ascii="仿宋_GB2312" w:hAnsi="仿宋_GB2312" w:eastAsia="仿宋_GB2312" w:cs="仿宋_GB2312"/>
        </w:rPr>
        <w:t>无</w:t>
      </w:r>
    </w:p>
    <w:p w14:paraId="22DB1BA1">
      <w:pPr>
        <w:pStyle w:val="10"/>
        <w:jc w:val="both"/>
      </w:pPr>
      <w:r>
        <w:rPr>
          <w:rFonts w:ascii="仿宋_GB2312" w:hAnsi="仿宋_GB2312" w:eastAsia="仿宋_GB2312" w:cs="仿宋_GB2312"/>
          <w:b/>
        </w:rPr>
        <w:t>※除本章第2.2.5条第（3）款规定情形和根据政府采购政策应进行价格扣除的情形外，不能对供应商的报价进行任何调整。</w:t>
      </w:r>
    </w:p>
    <w:p w14:paraId="0118CFFC">
      <w:pPr>
        <w:pStyle w:val="10"/>
        <w:jc w:val="center"/>
        <w:outlineLvl w:val="2"/>
      </w:pPr>
      <w:r>
        <w:rPr>
          <w:rFonts w:ascii="仿宋_GB2312" w:hAnsi="仿宋_GB2312" w:eastAsia="仿宋_GB2312" w:cs="仿宋_GB2312"/>
          <w:b/>
          <w:sz w:val="28"/>
        </w:rPr>
        <w:t>三、评审报告</w:t>
      </w:r>
    </w:p>
    <w:p w14:paraId="694852A1">
      <w:pPr>
        <w:pStyle w:val="10"/>
        <w:ind w:firstLine="480"/>
        <w:jc w:val="both"/>
      </w:pPr>
      <w:r>
        <w:rPr>
          <w:rFonts w:ascii="仿宋_GB2312" w:hAnsi="仿宋_GB2312" w:eastAsia="仿宋_GB2312" w:cs="仿宋_GB2312"/>
        </w:rPr>
        <w:t>3.1询价小组完成评审后，应当编写评审报告并提交给采购代理机构，采购代理机构应当在评审结束后2个工作日内将评审报告送采购人确认。</w:t>
      </w:r>
    </w:p>
    <w:p w14:paraId="19578D35">
      <w:pPr>
        <w:pStyle w:val="10"/>
        <w:ind w:firstLine="480"/>
        <w:jc w:val="both"/>
      </w:pPr>
      <w:r>
        <w:rPr>
          <w:rFonts w:ascii="仿宋_GB2312" w:hAnsi="仿宋_GB2312" w:eastAsia="仿宋_GB2312" w:cs="仿宋_GB2312"/>
        </w:rPr>
        <w:t>3.2评审报告应当包括以下主要内容：</w:t>
      </w:r>
    </w:p>
    <w:p w14:paraId="75CB1E6B">
      <w:pPr>
        <w:pStyle w:val="10"/>
        <w:ind w:firstLine="480"/>
        <w:jc w:val="both"/>
      </w:pPr>
      <w:r>
        <w:rPr>
          <w:rFonts w:ascii="仿宋_GB2312" w:hAnsi="仿宋_GB2312" w:eastAsia="仿宋_GB2312" w:cs="仿宋_GB2312"/>
        </w:rPr>
        <w:t>（一）邀请供应商参加采购活动的具体方式和相关情况，以及参加采购活动的供应商名单；</w:t>
      </w:r>
    </w:p>
    <w:p w14:paraId="3C781FF9">
      <w:pPr>
        <w:pStyle w:val="10"/>
        <w:ind w:firstLine="480"/>
        <w:jc w:val="both"/>
      </w:pPr>
      <w:r>
        <w:rPr>
          <w:rFonts w:ascii="仿宋_GB2312" w:hAnsi="仿宋_GB2312" w:eastAsia="仿宋_GB2312" w:cs="仿宋_GB2312"/>
        </w:rPr>
        <w:t>（二）评审日期和地点，询价小组成员名单；</w:t>
      </w:r>
    </w:p>
    <w:p w14:paraId="560E83E9">
      <w:pPr>
        <w:pStyle w:val="10"/>
        <w:ind w:firstLine="480"/>
        <w:jc w:val="both"/>
      </w:pPr>
      <w:r>
        <w:rPr>
          <w:rFonts w:ascii="仿宋_GB2312" w:hAnsi="仿宋_GB2312" w:eastAsia="仿宋_GB2312" w:cs="仿宋_GB2312"/>
        </w:rPr>
        <w:t>（三）评审情况记录和说明，包括对供应商的资格审查情况、供应商响应文件评审情况、报价情况等；</w:t>
      </w:r>
    </w:p>
    <w:p w14:paraId="7408BFDE">
      <w:pPr>
        <w:pStyle w:val="10"/>
        <w:ind w:firstLine="480"/>
        <w:jc w:val="both"/>
      </w:pPr>
      <w:r>
        <w:rPr>
          <w:rFonts w:ascii="仿宋_GB2312" w:hAnsi="仿宋_GB2312" w:eastAsia="仿宋_GB2312" w:cs="仿宋_GB2312"/>
        </w:rPr>
        <w:t>（四）提出的成交候选人的名单及理由。</w:t>
      </w:r>
    </w:p>
    <w:p w14:paraId="048688C6">
      <w:pPr>
        <w:pStyle w:val="10"/>
        <w:ind w:firstLine="480"/>
        <w:jc w:val="both"/>
      </w:pPr>
      <w:r>
        <w:rPr>
          <w:rFonts w:ascii="仿宋_GB2312" w:hAnsi="仿宋_GB2312" w:eastAsia="仿宋_GB2312" w:cs="仿宋_GB2312"/>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4B47BC2B">
      <w:pPr>
        <w:pStyle w:val="10"/>
        <w:jc w:val="center"/>
        <w:outlineLvl w:val="2"/>
      </w:pPr>
      <w:r>
        <w:rPr>
          <w:rFonts w:ascii="仿宋_GB2312" w:hAnsi="仿宋_GB2312" w:eastAsia="仿宋_GB2312" w:cs="仿宋_GB2312"/>
          <w:b/>
          <w:sz w:val="28"/>
        </w:rPr>
        <w:t>四、其他规定</w:t>
      </w:r>
    </w:p>
    <w:p w14:paraId="2086E4B9">
      <w:pPr>
        <w:pStyle w:val="10"/>
        <w:jc w:val="both"/>
      </w:pPr>
      <w:r>
        <w:rPr>
          <w:rFonts w:ascii="仿宋_GB2312" w:hAnsi="仿宋_GB2312" w:eastAsia="仿宋_GB2312" w:cs="仿宋_GB2312"/>
        </w:rPr>
        <w:t>4、其他规定</w:t>
      </w:r>
    </w:p>
    <w:p w14:paraId="65CC3450">
      <w:pPr>
        <w:pStyle w:val="10"/>
        <w:ind w:firstLine="480"/>
        <w:jc w:val="both"/>
      </w:pPr>
      <w:r>
        <w:rPr>
          <w:rFonts w:ascii="仿宋_GB2312" w:hAnsi="仿宋_GB2312" w:eastAsia="仿宋_GB2312" w:cs="仿宋_GB2312"/>
        </w:rPr>
        <w:t>4.1评审应全程保密且不得透露给任一供应商或与评审工作无关的人员。</w:t>
      </w:r>
    </w:p>
    <w:p w14:paraId="4835B036">
      <w:pPr>
        <w:pStyle w:val="10"/>
        <w:ind w:firstLine="480"/>
        <w:jc w:val="both"/>
      </w:pPr>
      <w:r>
        <w:rPr>
          <w:rFonts w:ascii="仿宋_GB2312" w:hAnsi="仿宋_GB2312" w:eastAsia="仿宋_GB2312" w:cs="仿宋_GB2312"/>
        </w:rPr>
        <w:t>4.2评审将进行全程实时录音录像，录音录像资料随采购文件一并存档。</w:t>
      </w:r>
    </w:p>
    <w:p w14:paraId="64AF9459">
      <w:pPr>
        <w:pStyle w:val="10"/>
        <w:ind w:firstLine="480"/>
        <w:jc w:val="both"/>
      </w:pPr>
      <w:r>
        <w:rPr>
          <w:rFonts w:ascii="仿宋_GB2312" w:hAnsi="仿宋_GB2312" w:eastAsia="仿宋_GB2312" w:cs="仿宋_GB2312"/>
        </w:rPr>
        <w:t>4.3若供应商有任何试图干扰具体评审事务，影响询价小组独立履行职责的行为，其报价无效且不予退还询价保证金。情节严重的，由财政部门列入不良行为记录。</w:t>
      </w:r>
    </w:p>
    <w:p w14:paraId="0AEF0BE4">
      <w:pPr>
        <w:pStyle w:val="10"/>
        <w:ind w:firstLine="480"/>
        <w:jc w:val="both"/>
      </w:pPr>
      <w:r>
        <w:rPr>
          <w:rFonts w:ascii="仿宋_GB2312" w:hAnsi="仿宋_GB2312" w:eastAsia="仿宋_GB2312" w:cs="仿宋_GB2312"/>
        </w:rPr>
        <w:t>4.4其他：</w:t>
      </w:r>
    </w:p>
    <w:p w14:paraId="6A6521C8">
      <w:pPr>
        <w:pStyle w:val="10"/>
        <w:ind w:firstLine="480"/>
        <w:jc w:val="left"/>
      </w:pPr>
      <w:r>
        <w:rPr>
          <w:rFonts w:ascii="仿宋_GB2312" w:hAnsi="仿宋_GB2312" w:eastAsia="仿宋_GB2312" w:cs="仿宋_GB2312"/>
        </w:rPr>
        <w:t>无</w:t>
      </w:r>
    </w:p>
    <w:p w14:paraId="63301A07">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047469">
      <w:pPr>
        <w:pStyle w:val="10"/>
        <w:jc w:val="center"/>
        <w:outlineLvl w:val="1"/>
      </w:pPr>
      <w:r>
        <w:rPr>
          <w:rFonts w:ascii="仿宋_GB2312" w:hAnsi="仿宋_GB2312" w:eastAsia="仿宋_GB2312" w:cs="仿宋_GB2312"/>
          <w:b/>
          <w:sz w:val="36"/>
        </w:rPr>
        <w:t>第四章 询价内容及要求</w:t>
      </w:r>
    </w:p>
    <w:p w14:paraId="0D13A02E">
      <w:pPr>
        <w:pStyle w:val="10"/>
        <w:jc w:val="both"/>
        <w:outlineLvl w:val="2"/>
      </w:pPr>
      <w:r>
        <w:rPr>
          <w:rFonts w:ascii="仿宋_GB2312" w:hAnsi="仿宋_GB2312" w:eastAsia="仿宋_GB2312" w:cs="仿宋_GB2312"/>
          <w:b/>
          <w:sz w:val="28"/>
        </w:rPr>
        <w:t>一、（根据本项目实际情况，填写“采购标的”或“项目概况”）</w:t>
      </w:r>
    </w:p>
    <w:p w14:paraId="0A9A98FA">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u w:val="single"/>
          <w:lang w:eastAsia="zh-CN"/>
        </w:rPr>
      </w:pPr>
      <w:r>
        <w:rPr>
          <w:rFonts w:hint="eastAsia" w:ascii="仿宋" w:hAnsi="仿宋" w:eastAsia="仿宋" w:cs="仿宋"/>
          <w:b/>
          <w:sz w:val="24"/>
          <w:szCs w:val="24"/>
        </w:rPr>
        <w:t>1、</w:t>
      </w:r>
      <w:r>
        <w:rPr>
          <w:rFonts w:hint="eastAsia" w:ascii="仿宋" w:hAnsi="仿宋" w:eastAsia="仿宋" w:cs="仿宋"/>
          <w:b/>
          <w:sz w:val="24"/>
          <w:szCs w:val="24"/>
          <w:lang w:eastAsia="zh-CN"/>
        </w:rPr>
        <w:t>本项目为</w:t>
      </w:r>
      <w:r>
        <w:rPr>
          <w:rFonts w:hint="eastAsia" w:ascii="仿宋" w:hAnsi="仿宋" w:eastAsia="仿宋" w:cs="仿宋"/>
          <w:b/>
          <w:sz w:val="24"/>
          <w:szCs w:val="24"/>
          <w:u w:val="none"/>
          <w:lang w:eastAsia="zh-CN"/>
        </w:rPr>
        <w:t>邵武第一中学新校区教学保障类设备采购项目。</w:t>
      </w:r>
      <w:r>
        <w:rPr>
          <w:rFonts w:hint="eastAsia" w:ascii="仿宋" w:hAnsi="仿宋" w:eastAsia="仿宋" w:cs="仿宋"/>
          <w:b/>
          <w:sz w:val="24"/>
          <w:u w:val="none"/>
        </w:rPr>
        <w:t>供应商为本项目提供的货物必须通过合法渠道获得，具有在中国境内的合法使用权和用户保护权，产品技术参数必须符合或优于本项目询价通知书、国家及行业相关标准。</w:t>
      </w:r>
      <w:r>
        <w:rPr>
          <w:rFonts w:hint="eastAsia" w:ascii="仿宋" w:hAnsi="仿宋" w:eastAsia="仿宋" w:cs="仿宋"/>
          <w:b/>
          <w:bCs/>
          <w:sz w:val="24"/>
          <w:szCs w:val="24"/>
          <w:u w:val="single"/>
          <w:lang w:eastAsia="zh-CN"/>
        </w:rPr>
        <w:t>主要采购内容如下：</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
        <w:gridCol w:w="8539"/>
        <w:gridCol w:w="499"/>
        <w:gridCol w:w="538"/>
      </w:tblGrid>
      <w:tr w14:paraId="2348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93" w:type="pct"/>
            <w:tcBorders>
              <w:top w:val="single" w:color="000000" w:sz="4" w:space="0"/>
              <w:left w:val="single" w:color="000000" w:sz="4" w:space="0"/>
              <w:bottom w:val="single" w:color="000000" w:sz="4" w:space="0"/>
              <w:right w:val="single" w:color="000000" w:sz="4" w:space="0"/>
            </w:tcBorders>
            <w:noWrap/>
            <w:vAlign w:val="center"/>
          </w:tcPr>
          <w:p w14:paraId="296022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序号</w:t>
            </w:r>
          </w:p>
        </w:tc>
        <w:tc>
          <w:tcPr>
            <w:tcW w:w="4285" w:type="pct"/>
            <w:tcBorders>
              <w:top w:val="single" w:color="000000" w:sz="4" w:space="0"/>
              <w:left w:val="single" w:color="000000" w:sz="4" w:space="0"/>
              <w:bottom w:val="single" w:color="000000" w:sz="4" w:space="0"/>
              <w:right w:val="single" w:color="000000" w:sz="4" w:space="0"/>
            </w:tcBorders>
            <w:noWrap/>
            <w:vAlign w:val="center"/>
          </w:tcPr>
          <w:p w14:paraId="64C1F5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项目内容</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3898D3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数量</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7D7044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单位</w:t>
            </w:r>
          </w:p>
        </w:tc>
      </w:tr>
      <w:tr w14:paraId="50D2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93" w:type="pct"/>
            <w:tcBorders>
              <w:top w:val="single" w:color="000000" w:sz="4" w:space="0"/>
              <w:left w:val="single" w:color="000000" w:sz="4" w:space="0"/>
              <w:bottom w:val="single" w:color="000000" w:sz="4" w:space="0"/>
              <w:right w:val="single" w:color="000000" w:sz="4" w:space="0"/>
            </w:tcBorders>
            <w:noWrap/>
            <w:vAlign w:val="center"/>
          </w:tcPr>
          <w:p w14:paraId="0DF88E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1</w:t>
            </w:r>
          </w:p>
        </w:tc>
        <w:tc>
          <w:tcPr>
            <w:tcW w:w="4285" w:type="pct"/>
            <w:tcBorders>
              <w:top w:val="single" w:color="000000" w:sz="4" w:space="0"/>
              <w:left w:val="single" w:color="000000" w:sz="4" w:space="0"/>
              <w:bottom w:val="single" w:color="000000" w:sz="4" w:space="0"/>
              <w:right w:val="single" w:color="000000" w:sz="4" w:space="0"/>
            </w:tcBorders>
            <w:noWrap/>
            <w:vAlign w:val="center"/>
          </w:tcPr>
          <w:p w14:paraId="6762DC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视频教学保障系统。视频教学保障类（含班级教学视频回放系统）录播/直播/转播视频监控系统、含1间录播室。应能支持远程教学、直播、回放等功能；</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4246B7E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1</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5EFDDA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项</w:t>
            </w:r>
          </w:p>
        </w:tc>
      </w:tr>
      <w:tr w14:paraId="3DBF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93" w:type="pct"/>
            <w:tcBorders>
              <w:top w:val="single" w:color="000000" w:sz="4" w:space="0"/>
              <w:left w:val="single" w:color="000000" w:sz="4" w:space="0"/>
              <w:bottom w:val="single" w:color="000000" w:sz="4" w:space="0"/>
              <w:right w:val="single" w:color="000000" w:sz="4" w:space="0"/>
            </w:tcBorders>
            <w:noWrap/>
            <w:vAlign w:val="center"/>
          </w:tcPr>
          <w:p w14:paraId="606146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2</w:t>
            </w:r>
          </w:p>
        </w:tc>
        <w:tc>
          <w:tcPr>
            <w:tcW w:w="4285" w:type="pct"/>
            <w:tcBorders>
              <w:top w:val="single" w:color="000000" w:sz="4" w:space="0"/>
              <w:left w:val="single" w:color="000000" w:sz="4" w:space="0"/>
              <w:bottom w:val="single" w:color="000000" w:sz="4" w:space="0"/>
              <w:right w:val="single" w:color="000000" w:sz="4" w:space="0"/>
            </w:tcBorders>
            <w:noWrap/>
            <w:vAlign w:val="center"/>
          </w:tcPr>
          <w:p w14:paraId="032AF7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校园IP广播系统。含教室广播、操场看台广播、应急。不与考试广播系统共享。应能满足全校广播通知、应急广播等需求。</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10EF34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1</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718A65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项</w:t>
            </w:r>
          </w:p>
        </w:tc>
      </w:tr>
      <w:tr w14:paraId="5EEB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193" w:type="pct"/>
            <w:tcBorders>
              <w:top w:val="single" w:color="000000" w:sz="4" w:space="0"/>
              <w:left w:val="single" w:color="000000" w:sz="4" w:space="0"/>
              <w:bottom w:val="single" w:color="000000" w:sz="4" w:space="0"/>
              <w:right w:val="single" w:color="000000" w:sz="4" w:space="0"/>
            </w:tcBorders>
            <w:noWrap/>
            <w:vAlign w:val="center"/>
          </w:tcPr>
          <w:p w14:paraId="2CCB08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3</w:t>
            </w:r>
          </w:p>
        </w:tc>
        <w:tc>
          <w:tcPr>
            <w:tcW w:w="4285" w:type="pct"/>
            <w:tcBorders>
              <w:top w:val="single" w:color="000000" w:sz="4" w:space="0"/>
              <w:left w:val="single" w:color="000000" w:sz="4" w:space="0"/>
              <w:bottom w:val="single" w:color="000000" w:sz="4" w:space="0"/>
              <w:right w:val="single" w:color="000000" w:sz="4" w:space="0"/>
            </w:tcBorders>
            <w:noWrap/>
            <w:vAlign w:val="center"/>
          </w:tcPr>
          <w:p w14:paraId="0153AB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图书借阅系统。包括云图管理平台，馆情分析系统，图书标签、加工，自助借还书机，升降式移动还书箱，检索查询机，一体化馆员工作站，智能点检车及智能微型图书馆等。应能实现图书高效化管理，提升师生借阅效率。</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3E59DA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1</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6464C7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项</w:t>
            </w:r>
          </w:p>
        </w:tc>
      </w:tr>
    </w:tbl>
    <w:p w14:paraId="77D6DDA6">
      <w:pPr>
        <w:pStyle w:val="10"/>
        <w:spacing w:line="360" w:lineRule="auto"/>
        <w:ind w:firstLine="480"/>
        <w:jc w:val="left"/>
        <w:rPr>
          <w:rFonts w:ascii="仿宋" w:hAnsi="仿宋" w:eastAsia="仿宋" w:cs="仿宋"/>
          <w:sz w:val="24"/>
          <w:szCs w:val="24"/>
        </w:rPr>
      </w:pPr>
      <w:r>
        <w:rPr>
          <w:rFonts w:ascii="仿宋" w:hAnsi="仿宋" w:eastAsia="仿宋" w:cs="仿宋"/>
          <w:sz w:val="24"/>
          <w:szCs w:val="24"/>
        </w:rPr>
        <w:t>2、供应商可按采购包投标，对同一采购包内所有品目号内容投标时必须完整。评审与授标以采购包为单位。</w:t>
      </w:r>
    </w:p>
    <w:p w14:paraId="04FE28B2">
      <w:pPr>
        <w:pStyle w:val="10"/>
        <w:spacing w:line="360" w:lineRule="auto"/>
        <w:ind w:firstLine="480"/>
        <w:jc w:val="left"/>
        <w:rPr>
          <w:rFonts w:ascii="仿宋" w:hAnsi="仿宋" w:eastAsia="仿宋" w:cs="仿宋"/>
          <w:sz w:val="24"/>
          <w:szCs w:val="24"/>
        </w:rPr>
      </w:pPr>
      <w:r>
        <w:rPr>
          <w:rFonts w:ascii="仿宋" w:hAnsi="仿宋" w:eastAsia="仿宋" w:cs="仿宋"/>
          <w:sz w:val="24"/>
          <w:szCs w:val="24"/>
        </w:rPr>
        <w:t>3、供应商须严格遵照本询价文件中所涉及的技术要求和规范，列出详细的技术要求响应表和商务条件响应表。</w:t>
      </w:r>
    </w:p>
    <w:p w14:paraId="65426CE4">
      <w:pPr>
        <w:pStyle w:val="10"/>
        <w:spacing w:line="360" w:lineRule="auto"/>
        <w:ind w:firstLine="480"/>
        <w:jc w:val="left"/>
        <w:rPr>
          <w:rFonts w:ascii="仿宋" w:hAnsi="仿宋" w:eastAsia="仿宋" w:cs="仿宋"/>
          <w:sz w:val="24"/>
          <w:szCs w:val="24"/>
        </w:rPr>
      </w:pPr>
      <w:r>
        <w:rPr>
          <w:rFonts w:ascii="仿宋" w:hAnsi="仿宋" w:eastAsia="仿宋" w:cs="仿宋"/>
          <w:sz w:val="24"/>
          <w:szCs w:val="24"/>
        </w:rPr>
        <w:t>4、本询价通知书中的内容若与国家、行业有关标准、规范、要求有矛盾，则以国家、行业有关标准、规范、要求为准。如上述标准及规定有矛盾的，则以较严格的现行标准、规定为准。在项目合同期内若有新的标准颁布，则供应商参与本项目表示其已承诺将免费修改其系统以满足新的标准要求。</w:t>
      </w:r>
    </w:p>
    <w:p w14:paraId="09242FA3">
      <w:pPr>
        <w:pStyle w:val="10"/>
        <w:spacing w:line="360" w:lineRule="auto"/>
        <w:ind w:firstLine="480"/>
        <w:jc w:val="left"/>
        <w:rPr>
          <w:rFonts w:ascii="仿宋" w:hAnsi="仿宋" w:eastAsia="仿宋" w:cs="仿宋"/>
          <w:sz w:val="24"/>
          <w:szCs w:val="24"/>
        </w:rPr>
      </w:pPr>
      <w:r>
        <w:rPr>
          <w:rFonts w:ascii="仿宋" w:hAnsi="仿宋" w:eastAsia="仿宋" w:cs="仿宋"/>
          <w:sz w:val="24"/>
          <w:szCs w:val="24"/>
        </w:rPr>
        <w:t>5、本次采购项目核心产品为</w:t>
      </w:r>
      <w:r>
        <w:rPr>
          <w:rFonts w:ascii="仿宋" w:hAnsi="仿宋" w:eastAsia="仿宋" w:cs="仿宋"/>
          <w:sz w:val="24"/>
          <w:szCs w:val="24"/>
          <w:highlight w:val="none"/>
        </w:rPr>
        <w:t>“</w:t>
      </w:r>
      <w:r>
        <w:rPr>
          <w:rFonts w:hint="eastAsia" w:ascii="仿宋" w:hAnsi="仿宋" w:eastAsia="仿宋" w:cs="仿宋"/>
          <w:sz w:val="24"/>
          <w:szCs w:val="24"/>
          <w:highlight w:val="none"/>
          <w:lang w:eastAsia="zh-CN"/>
        </w:rPr>
        <w:t>智能微型图书馆</w:t>
      </w:r>
      <w:r>
        <w:rPr>
          <w:rFonts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ascii="仿宋" w:hAnsi="仿宋" w:eastAsia="仿宋" w:cs="仿宋"/>
          <w:sz w:val="24"/>
          <w:szCs w:val="24"/>
        </w:rPr>
        <w:t>提供同</w:t>
      </w:r>
      <w:r>
        <w:rPr>
          <w:rFonts w:hint="eastAsia" w:ascii="仿宋" w:hAnsi="仿宋" w:eastAsia="仿宋" w:cs="仿宋"/>
          <w:sz w:val="24"/>
          <w:szCs w:val="24"/>
          <w:lang w:val="en-US" w:eastAsia="zh-CN"/>
        </w:rPr>
        <w:t>一</w:t>
      </w:r>
      <w:r>
        <w:rPr>
          <w:rFonts w:ascii="仿宋" w:hAnsi="仿宋" w:eastAsia="仿宋" w:cs="仿宋"/>
          <w:sz w:val="24"/>
          <w:szCs w:val="24"/>
        </w:rPr>
        <w:t>品牌</w:t>
      </w:r>
      <w:r>
        <w:rPr>
          <w:rFonts w:hint="eastAsia" w:ascii="仿宋" w:hAnsi="仿宋" w:eastAsia="仿宋" w:cs="仿宋"/>
          <w:sz w:val="24"/>
          <w:szCs w:val="24"/>
          <w:lang w:val="en-US" w:eastAsia="zh-CN"/>
        </w:rPr>
        <w:t>同一型号</w:t>
      </w:r>
      <w:r>
        <w:rPr>
          <w:rFonts w:ascii="仿宋" w:hAnsi="仿宋" w:eastAsia="仿宋" w:cs="仿宋"/>
          <w:sz w:val="24"/>
          <w:szCs w:val="24"/>
        </w:rPr>
        <w:t>产品的不同供应商参加同一合同项下投标的，以其中通过资格审查、符合性审查且报价最低的参加评标；报价相同的，由询价小组按照询价通知书规定的方式确定一个参加评标的供应商，文件未规定的，采取随机抽取方式确定，其他响应无效。凡是列入核心产品范围的，其中任一产品出现相同品牌的，均被认定为一家供应商来计算。</w:t>
      </w:r>
    </w:p>
    <w:p w14:paraId="47CD4F15">
      <w:pPr>
        <w:pStyle w:val="10"/>
        <w:spacing w:line="360" w:lineRule="auto"/>
        <w:ind w:firstLine="482"/>
        <w:jc w:val="left"/>
        <w:rPr>
          <w:rFonts w:ascii="仿宋" w:hAnsi="仿宋" w:eastAsia="仿宋" w:cs="仿宋"/>
          <w:sz w:val="24"/>
          <w:szCs w:val="24"/>
        </w:rPr>
      </w:pPr>
      <w:r>
        <w:rPr>
          <w:rFonts w:ascii="仿宋" w:hAnsi="仿宋" w:eastAsia="仿宋" w:cs="仿宋"/>
          <w:b/>
          <w:sz w:val="24"/>
          <w:szCs w:val="24"/>
        </w:rPr>
        <w:t>6、本项目所采购的产品中若有属于国家强制性要求或认证【如中国强制性产品认证（3C认证）、政府强制采购产品等】的，供应商所投产品必须为规定的产品并提供该产品有效的证明文件（或认证证书复印件）或提供承诺函（承诺函自拟，内容至少包含：承诺其所投产品属国家强制性要求或认证的，均能满足国家强制性要求或认证要求，并对其真实性负责。），否则视为无效响应。</w:t>
      </w:r>
    </w:p>
    <w:p w14:paraId="193A1940">
      <w:pPr>
        <w:pStyle w:val="10"/>
        <w:spacing w:line="360" w:lineRule="auto"/>
        <w:ind w:firstLine="480"/>
        <w:jc w:val="left"/>
        <w:rPr>
          <w:rFonts w:ascii="仿宋" w:hAnsi="仿宋" w:eastAsia="仿宋" w:cs="仿宋"/>
          <w:sz w:val="24"/>
          <w:szCs w:val="24"/>
        </w:rPr>
      </w:pPr>
      <w:r>
        <w:rPr>
          <w:rFonts w:ascii="仿宋" w:hAnsi="仿宋" w:eastAsia="仿宋" w:cs="仿宋"/>
          <w:sz w:val="24"/>
          <w:szCs w:val="24"/>
        </w:rPr>
        <w:t>7、本项目所采购货物规格涉及尺寸（长宽高）、重量等允许±</w:t>
      </w:r>
      <w:r>
        <w:rPr>
          <w:rFonts w:hint="eastAsia" w:ascii="仿宋" w:hAnsi="仿宋" w:eastAsia="仿宋" w:cs="仿宋"/>
          <w:sz w:val="24"/>
          <w:szCs w:val="24"/>
          <w:lang w:val="en-US" w:eastAsia="zh-CN"/>
        </w:rPr>
        <w:t>2</w:t>
      </w:r>
      <w:r>
        <w:rPr>
          <w:rFonts w:ascii="仿宋" w:hAnsi="仿宋" w:eastAsia="仿宋" w:cs="仿宋"/>
          <w:sz w:val="24"/>
          <w:szCs w:val="24"/>
        </w:rPr>
        <w:t>%的偏差（技术参数中已对货物规格做出偏差表述的，以技术参数为准）</w:t>
      </w:r>
      <w:r>
        <w:rPr>
          <w:rFonts w:hint="eastAsia" w:ascii="仿宋" w:hAnsi="仿宋" w:eastAsia="仿宋" w:cs="仿宋"/>
          <w:sz w:val="24"/>
          <w:szCs w:val="24"/>
          <w:lang w:eastAsia="zh-CN"/>
        </w:rPr>
        <w:t>，</w:t>
      </w:r>
      <w:r>
        <w:rPr>
          <w:rFonts w:hint="eastAsia" w:ascii="仿宋" w:hAnsi="仿宋" w:eastAsia="仿宋" w:cs="仿宋"/>
          <w:sz w:val="24"/>
          <w:szCs w:val="24"/>
        </w:rPr>
        <w:t>且偏差范围应符合相关国家、行业标准（有不一致的，以国家、行业标准为准）</w:t>
      </w:r>
      <w:r>
        <w:rPr>
          <w:rFonts w:ascii="仿宋" w:hAnsi="仿宋" w:eastAsia="仿宋" w:cs="仿宋"/>
          <w:sz w:val="24"/>
          <w:szCs w:val="24"/>
        </w:rPr>
        <w:t>。供应商对询价通知书“技术要求”项下涉及“≥或＞”、“≤或＜”及某个区间值范围内的内容，响应时应填写具体的数值，但技术指标只能以范围作响应的除外。</w:t>
      </w:r>
    </w:p>
    <w:p w14:paraId="29F63069">
      <w:pPr>
        <w:pStyle w:val="10"/>
        <w:spacing w:line="360" w:lineRule="auto"/>
        <w:ind w:firstLine="480"/>
        <w:jc w:val="left"/>
        <w:rPr>
          <w:rFonts w:ascii="仿宋" w:hAnsi="仿宋" w:eastAsia="仿宋" w:cs="仿宋"/>
          <w:sz w:val="24"/>
          <w:szCs w:val="24"/>
        </w:rPr>
      </w:pPr>
      <w:r>
        <w:rPr>
          <w:rFonts w:ascii="仿宋" w:hAnsi="仿宋" w:eastAsia="仿宋" w:cs="仿宋"/>
          <w:sz w:val="24"/>
          <w:szCs w:val="24"/>
        </w:rPr>
        <w:t>8、供应商应以包括完成本次项目所涉及的有关项目的所有费用进行报价，采购人不再承担任何费用。投标报价包括但不限于设备和材料（含采购、交通、运输）、税费、保险费用、专用工具费、检测费用、安装、调试及试运行、验收、技术服务费用、质保期的售后服务费用、培训费用（及第三方检测费用，若有）、利润、税款、风险费、总包管理与配合费用及政策性文件规定的各项应有费用及可合理推断的责任和义务。供应商还需考虑到合同中可能出现的索赔和变更。</w:t>
      </w:r>
    </w:p>
    <w:p w14:paraId="243C764F">
      <w:pPr>
        <w:pStyle w:val="10"/>
        <w:spacing w:line="360" w:lineRule="auto"/>
        <w:ind w:firstLine="482"/>
        <w:jc w:val="left"/>
        <w:rPr>
          <w:rFonts w:ascii="仿宋" w:hAnsi="仿宋" w:eastAsia="仿宋" w:cs="仿宋"/>
          <w:sz w:val="24"/>
          <w:szCs w:val="24"/>
        </w:rPr>
      </w:pPr>
      <w:r>
        <w:rPr>
          <w:rFonts w:ascii="仿宋" w:hAnsi="仿宋" w:eastAsia="仿宋" w:cs="仿宋"/>
          <w:b/>
          <w:sz w:val="24"/>
          <w:szCs w:val="24"/>
        </w:rPr>
        <w:t>9、报价要求</w:t>
      </w:r>
    </w:p>
    <w:p w14:paraId="206023C3">
      <w:pPr>
        <w:pStyle w:val="10"/>
        <w:spacing w:line="360" w:lineRule="auto"/>
        <w:ind w:firstLine="482"/>
        <w:jc w:val="left"/>
        <w:rPr>
          <w:rFonts w:ascii="仿宋" w:hAnsi="仿宋" w:eastAsia="仿宋" w:cs="仿宋"/>
          <w:sz w:val="24"/>
          <w:szCs w:val="24"/>
        </w:rPr>
      </w:pPr>
      <w:r>
        <w:rPr>
          <w:rFonts w:ascii="仿宋" w:hAnsi="仿宋" w:eastAsia="仿宋" w:cs="仿宋"/>
          <w:b/>
          <w:sz w:val="24"/>
          <w:szCs w:val="24"/>
        </w:rPr>
        <w:t>9.1供应商的报价不得超过询价通知书规定的最高限价，否则视为无效报价，按无效响应处理。</w:t>
      </w:r>
    </w:p>
    <w:p w14:paraId="49151829">
      <w:pPr>
        <w:pStyle w:val="10"/>
        <w:keepNext w:val="0"/>
        <w:keepLines w:val="0"/>
        <w:pageBreakBefore w:val="0"/>
        <w:kinsoku/>
        <w:wordWrap/>
        <w:overflowPunct/>
        <w:topLinePunct w:val="0"/>
        <w:autoSpaceDE/>
        <w:autoSpaceDN/>
        <w:bidi w:val="0"/>
        <w:adjustRightInd/>
        <w:snapToGrid/>
        <w:spacing w:line="360" w:lineRule="auto"/>
        <w:ind w:firstLine="480"/>
        <w:jc w:val="both"/>
        <w:textAlignment w:val="auto"/>
        <w:rPr>
          <w:rFonts w:ascii="仿宋" w:hAnsi="仿宋" w:eastAsia="仿宋" w:cs="仿宋"/>
          <w:b/>
          <w:sz w:val="24"/>
          <w:szCs w:val="24"/>
        </w:rPr>
      </w:pPr>
      <w:r>
        <w:rPr>
          <w:rFonts w:ascii="仿宋" w:hAnsi="仿宋" w:eastAsia="仿宋" w:cs="仿宋"/>
          <w:b/>
          <w:sz w:val="24"/>
          <w:szCs w:val="24"/>
        </w:rPr>
        <w:t>9.2供应商应在响应文件中提供完整的《分项报价表》，至少列明设备名称、数量、单位、投标单价、投标总价等信息，未提供《分项报价表》或提供内容不完整（有缺、漏项）的，均视为无效报价，按无效响应处理。</w:t>
      </w:r>
    </w:p>
    <w:p w14:paraId="69A19027">
      <w:pPr>
        <w:pStyle w:val="10"/>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10、本项目不统一组织潜在供应商自行对现场进行踏勘，供应商应自行在响应报价中包含一中校区内现场成品保护等相关措施项目费用。</w:t>
      </w:r>
    </w:p>
    <w:p w14:paraId="50C3A70E">
      <w:pPr>
        <w:pStyle w:val="10"/>
        <w:jc w:val="both"/>
        <w:outlineLvl w:val="2"/>
        <w:rPr>
          <w:rFonts w:ascii="仿宋_GB2312" w:hAnsi="仿宋_GB2312" w:eastAsia="仿宋_GB2312" w:cs="仿宋_GB2312"/>
          <w:b/>
          <w:sz w:val="28"/>
        </w:rPr>
      </w:pPr>
      <w:r>
        <w:rPr>
          <w:rFonts w:ascii="仿宋_GB2312" w:hAnsi="仿宋_GB2312" w:eastAsia="仿宋_GB2312" w:cs="仿宋_GB2312"/>
          <w:b/>
          <w:sz w:val="28"/>
        </w:rPr>
        <w:t>二、技术要求（以下内容不允许负偏离）</w:t>
      </w:r>
    </w:p>
    <w:p w14:paraId="14C36B04">
      <w:pPr>
        <w:pStyle w:val="10"/>
        <w:jc w:val="both"/>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一</w:t>
      </w:r>
      <w:r>
        <w:rPr>
          <w:rFonts w:hint="eastAsia" w:ascii="仿宋_GB2312" w:hAnsi="仿宋_GB2312" w:eastAsia="仿宋_GB2312" w:cs="仿宋_GB2312"/>
          <w:b/>
          <w:sz w:val="28"/>
          <w:lang w:eastAsia="zh-CN"/>
        </w:rPr>
        <w:t>）视频教学保障系统。</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1047"/>
        <w:gridCol w:w="7450"/>
        <w:gridCol w:w="459"/>
        <w:gridCol w:w="548"/>
      </w:tblGrid>
      <w:tr w14:paraId="5A91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14:paraId="2BB65140">
            <w:pPr>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525"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14:paraId="3356F2AB">
            <w:pPr>
              <w:jc w:val="center"/>
              <w:rPr>
                <w:rFonts w:hint="eastAsia"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名称</w:t>
            </w:r>
          </w:p>
        </w:tc>
        <w:tc>
          <w:tcPr>
            <w:tcW w:w="373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14:paraId="78D06BAE">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技术规格及要求</w:t>
            </w:r>
          </w:p>
        </w:tc>
        <w:tc>
          <w:tcPr>
            <w:tcW w:w="230"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14:paraId="68B09E1D">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单位</w:t>
            </w:r>
          </w:p>
        </w:tc>
        <w:tc>
          <w:tcPr>
            <w:tcW w:w="275"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14:paraId="78D4A6D7">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数量</w:t>
            </w:r>
          </w:p>
        </w:tc>
      </w:tr>
      <w:tr w14:paraId="3F06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365418DB">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5BC8B559">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研讨智慧互动系统</w:t>
            </w:r>
          </w:p>
        </w:tc>
        <w:tc>
          <w:tcPr>
            <w:tcW w:w="3737" w:type="pct"/>
            <w:tcBorders>
              <w:top w:val="single" w:color="auto" w:sz="8" w:space="0"/>
            </w:tcBorders>
            <w:shd w:val="clear" w:color="auto" w:fill="FABF8F"/>
            <w:vAlign w:val="center"/>
          </w:tcPr>
          <w:p w14:paraId="0497DB9A">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348BF939">
            <w:pPr>
              <w:jc w:val="center"/>
              <w:rPr>
                <w:rFonts w:hint="eastAsia" w:ascii="仿宋" w:hAnsi="仿宋" w:eastAsia="仿宋" w:cs="仿宋"/>
                <w:b/>
                <w:color w:val="000000" w:themeColor="text1"/>
                <w:szCs w:val="21"/>
                <w14:textFill>
                  <w14:solidFill>
                    <w14:schemeClr w14:val="tx1"/>
                  </w14:solidFill>
                </w14:textFill>
              </w:rPr>
            </w:pPr>
          </w:p>
          <w:p w14:paraId="0C8E9AAB"/>
        </w:tc>
        <w:tc>
          <w:tcPr>
            <w:tcW w:w="275" w:type="pct"/>
            <w:tcBorders>
              <w:top w:val="single" w:color="auto" w:sz="8" w:space="0"/>
            </w:tcBorders>
            <w:shd w:val="clear" w:color="auto" w:fill="FABF8F"/>
            <w:vAlign w:val="center"/>
          </w:tcPr>
          <w:p w14:paraId="5B28C7D3">
            <w:pPr>
              <w:jc w:val="center"/>
              <w:rPr>
                <w:rFonts w:hint="eastAsia" w:ascii="仿宋" w:hAnsi="仿宋" w:eastAsia="仿宋" w:cs="仿宋"/>
                <w:b/>
                <w:color w:val="000000" w:themeColor="text1"/>
                <w:szCs w:val="21"/>
                <w14:textFill>
                  <w14:solidFill>
                    <w14:schemeClr w14:val="tx1"/>
                  </w14:solidFill>
                </w14:textFill>
              </w:rPr>
            </w:pPr>
          </w:p>
        </w:tc>
      </w:tr>
      <w:tr w14:paraId="553D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2F37C0E1">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3B6BAEF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智慧教室主机</w:t>
            </w:r>
          </w:p>
        </w:tc>
        <w:tc>
          <w:tcPr>
            <w:tcW w:w="3737" w:type="pct"/>
            <w:tcBorders>
              <w:top w:val="single" w:color="auto" w:sz="8" w:space="0"/>
            </w:tcBorders>
            <w:shd w:val="clear" w:color="auto" w:fill="auto"/>
            <w:vAlign w:val="center"/>
          </w:tcPr>
          <w:p w14:paraId="2F7041EE">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1、主机采用安卓操作系统。RAM≥ 8GB，ROM≥ 128GB且可扩展至1TB及以上，CPU采用X86架构，CPU主频≥1.8GHZ。</w:t>
            </w:r>
          </w:p>
          <w:p w14:paraId="1D94B538">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2、内置无线AP，其中内置无线AP采用内置天线，无外置裸露天线，WiFi支持：IEEE 802.11 a/b/g/n/ac，工作频段：2.4GHz和5GHz，最大无线速率：1.3Gbps。</w:t>
            </w:r>
          </w:p>
          <w:p w14:paraId="57D0B49E">
            <w:pPr>
              <w:jc w:val="left"/>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3、网络模式：需支持无线路由器、无线交换和网络终端三种网络模式。</w:t>
            </w:r>
          </w:p>
          <w:p w14:paraId="2CD67002">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4、主机接口：内置具备至少3个10/100/1000Mbps以太网RJ45数据接口，支持WAN口外接网线接入互联网，或LAN口外接网线输出网络数据；具备至少3个USB 接口，支持U盘、鼠标、键盘、摄像头的接入；具备至少2个HDMI输入接口，支持电脑、摄像头、实物展台等外部设备的有线接入；具备至少2个HDMI输出接口，支持输出到2个不同的大屏端，HDMI输出适配：支持多种显示分辨率，主机可自动适配HDMI外接的大屏端分辨率，最高支持3840*2160分辨率；具备至少一路音频输入接口和一路音频输出接口。</w:t>
            </w:r>
            <w:r>
              <w:rPr>
                <w:rFonts w:hint="eastAsia" w:ascii="仿宋" w:hAnsi="仿宋" w:eastAsia="仿宋" w:cs="仿宋"/>
                <w:b/>
                <w:bCs/>
                <w:color w:val="000000" w:themeColor="text1"/>
                <w:szCs w:val="21"/>
                <w:lang w:bidi="ar"/>
                <w14:textFill>
                  <w14:solidFill>
                    <w14:schemeClr w14:val="tx1"/>
                  </w14:solidFill>
                </w14:textFill>
              </w:rPr>
              <w:t>（须提供带有CMA或CNAS标志的第三方检测报告复印件佐证）</w:t>
            </w:r>
          </w:p>
          <w:p w14:paraId="386EC178">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5、投屏距离：需支持远距离稳定流畅的无线投屏，投屏的最大传输距离不小于100m。</w:t>
            </w:r>
          </w:p>
          <w:p w14:paraId="48F26463">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6、主机尺寸：长≤ 280mm、宽≤ 250mm、厚≤ 70mm；重量≤ 1.5KG。</w:t>
            </w:r>
          </w:p>
          <w:p w14:paraId="27C26FC6">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7、主机采用低功耗安全电压设计，DC*1输入，12V-3A，支持上电自动开机功能，LED工作状态指示灯。</w:t>
            </w:r>
          </w:p>
        </w:tc>
        <w:tc>
          <w:tcPr>
            <w:tcW w:w="230" w:type="pct"/>
            <w:tcBorders>
              <w:top w:val="single" w:color="auto" w:sz="8" w:space="0"/>
            </w:tcBorders>
            <w:vAlign w:val="center"/>
          </w:tcPr>
          <w:p w14:paraId="4EED4FFE">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台</w:t>
            </w:r>
          </w:p>
        </w:tc>
        <w:tc>
          <w:tcPr>
            <w:tcW w:w="275" w:type="pct"/>
            <w:tcBorders>
              <w:top w:val="single" w:color="auto" w:sz="8" w:space="0"/>
            </w:tcBorders>
            <w:vAlign w:val="center"/>
          </w:tcPr>
          <w:p w14:paraId="198F3A95">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r>
      <w:tr w14:paraId="3B11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6D9507FA">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15F16FC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主机系统软件</w:t>
            </w:r>
          </w:p>
        </w:tc>
        <w:tc>
          <w:tcPr>
            <w:tcW w:w="3737" w:type="pct"/>
            <w:tcBorders>
              <w:top w:val="single" w:color="auto" w:sz="8" w:space="0"/>
            </w:tcBorders>
            <w:shd w:val="clear" w:color="auto" w:fill="auto"/>
            <w:vAlign w:val="center"/>
          </w:tcPr>
          <w:p w14:paraId="31A1E133">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多媒体教学系统</w:t>
            </w:r>
          </w:p>
          <w:p w14:paraId="4ACC7C0C">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1.中英文切换：系统支持简体中文和英文两种语言模式，可快速进行中英文的切换，满足双语教学的要求。</w:t>
            </w:r>
          </w:p>
          <w:p w14:paraId="6CDA669E">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屏幕工具条：用户可直接在触控显示屏上点击系统工具条，或通过鼠标点击工具条进行操作，工具条具有截屏、录制、广播、布局、切屏、批注、白板、互动等功能按钮，并显示时间、设备名称、网络IP等信息。</w:t>
            </w:r>
          </w:p>
          <w:p w14:paraId="178D3DAA">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3.软件遥控器：教学互动终端无需硬件遥控器或USB切换器，用户只需扫码下载遥控器APP即可将移动终端作为控制端，支持Windows、Android、iOS系统设备安装控制端软件。</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val="en-US"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2DAACC26">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4.全屏缩放：支持在遥控器APP端或触控显示屏端对显示画面进行缩小、放大操作，能够对单屏或多屏画面进行最大400%放大。</w:t>
            </w:r>
          </w:p>
          <w:p w14:paraId="21B3F417">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移动端无线投屏：支持不少于16路终端设备同时接入教学互动终端，支持AirPlay、Miracast、WIDI主流投屏协议，iOS、macOS、Android和Windows系统设备无需安装任何APP即可直接投屏，并可自由拖动画面位置，支持对设备画面进行静音、旋转、全屏、移除等操作。</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6CBF66F2">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6.摄像机机位预置：支持添加网络摄像机并设定不少于20个预置机位，支持一键快速切换预置机位并进行画面的放大、缩小、上下左右移动等操作。</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70627E14">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7.手写板投屏：支持手写板通过Wifi同时连接教学互动终端，手写板书写笔迹可实时呈现在显示屏，支持对手写板画面进行旋转、清屏、移除等操作。</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0DAFAB59">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文件读取：系统支持查看U盘、云盘、内置硬盘和遥控器APP上传的本地文件和云空间下载文件，可实现如下功能：支持将外接U盘中的图片、视频、音频、文档等文件资料直接上屏展示；支持通过截屏和录制将存储在图库（U盘、云盘、内置硬盘）中的图片、视频直接上屏展示；支持通过遥控器APP将手机/平板中的图片、视频、文档等本地文件上传至教学互动终端展示，支持通过遥控器APP使用手机/平板的相机拍摄照片或录制视频上传至教学互动终端展示；支持将从云空间下载到本地的图片、视频、音频、文档等文件资料直接上屏展示；支持将外接U盘中、遥控器APP上传的或云空间下载的PPT演示文稿以联动模式或演讲模式进行放映，演讲模式下可实现PPT的动画效果和内嵌视频播放。</w:t>
            </w:r>
          </w:p>
          <w:p w14:paraId="673AEC57">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设备和文件分类：系统自动对设备（有线接入设备、无线投屏设备）、文件（U盘、云盘、内置硬盘、遥控器APP上传的本地文件和云空间下载文件）、分组（分组端教学互动终端）进行分类；支持对已连接的设备进行置顶、重命名、移动至分组等操作。</w:t>
            </w:r>
          </w:p>
          <w:p w14:paraId="38674FAE">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画面布局：支持1、2、3、4、6、8、9、16屏画面布局，画面支持多种对比模式（如均分屏幕、一大两小、一大三小、窗口悬浮等不少于13种默认画面布局），一键点击即可选择相应布局，已设置好的布局具有画面记忆功能，即布局模式更换后，原布局内的设备画面自动存储记忆，不会清屏或更改；Auto布局模式下可自动适应多种画面布局。</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6C3DB77A">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界面布局：支持全屏模式、显示工具条模式和研讨模式。全屏模式下，工具条自动隐藏，隐藏后可点击隐藏按钮再次显示，且无操作10秒钟后，工具条会继续隐藏；显示工具条模式下，支持工具条显示在左边或右边；研讨模式下，自动隐藏切屏按钮，可选择在屏幕左边或右边始终显示设备缩略图，可将设备画面、文件画面、分组画面等快速上屏展示。</w:t>
            </w:r>
          </w:p>
          <w:p w14:paraId="59C20216">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12.一键截屏：支持一键截取当前屏幕的显示画面，截屏的图片可保存在外接U盘、云盘或内置硬盘中，支持将存储在外接U盘、云盘或内置硬盘中的图片下载到本地。</w:t>
            </w:r>
          </w:p>
          <w:p w14:paraId="7F23146C">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微课录制：支持屏幕多画面和外接麦克风声音同步录入，提供720P和1080P视频显示格式可选，录制的视频可保存在外接U盘、云盘或内置硬盘中，支持存储空间不足时的文字提醒功能；支持多种方式开启微课录制，如教学互动终端的“录制”按键、屏幕工具条的“录制”按钮。</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1CDBCDD7">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白板批注：系统提供画笔、宽度、板擦、清空、撤销、重做、聚焦、随写板等工具，可实现如下功能：支持普通画笔和荧光画笔书写，提供红、橙、黄、绿、青、蓝、紫等9种画笔颜色和圆形、长方形、三角形、六边形等9种图形类别，并支持选择画笔书写和图形绘制的线条宽度；支持板擦手势擦除或滑动擦除当前书写内容；支持一键清空、撤销或重做；支持批注界面下的显示画面聚焦，可自由拖拽显示位置和显示比例，讲解模式下可将当前显示区域截取到白板中，支持截取多张图片和置顶某张图片；关灯模式下可将当前显示区域以外的画面进行黑屏操作；支持白板界面下的随写板书写，可悬浮于屏幕画面的上层显示，并自由拖拽显示位置和显示比例，支持一键滑动清除、最小化、还原初始大小和翻页等操作；支持添加多页白板并进行上下翻页，可同时预览多页白板的缩略图，最多可添加至50页；支持一键清空当前创建的所有白板；支持批注内容、白板书写内容保存至本地或上传至云空间，支持调取二维码用于扫码下载当前界面的截图。</w:t>
            </w:r>
          </w:p>
          <w:p w14:paraId="243011F9">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推拉流：支持RTMP协议推流，可实时将教学互动终端的画面、声音通过互联网直播，最多可完成16路投屏设备画面同步直播到互联网；同时还可支持拉流观看直播，将远端服务器已有的直播内容，通过教学互动终端进行拉流播放；用户可预置多个推流、拉流地址。</w:t>
            </w:r>
          </w:p>
          <w:p w14:paraId="4E6DECB2">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16.App应用：支持第三方应用程序嵌入式安装在教学互动终端，无需借助教师平板可直接开启师生互动软件，完成课堂教学互动过程。</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42E3807A">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17.Web应用：支持添加第三方Web端网页链接，可在屏幕端展示最多16个网页界面。</w:t>
            </w:r>
          </w:p>
          <w:p w14:paraId="2A8FF0F1">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欢迎主题：系统内置不少于14种模板，可选择系统模板、自定义模板和文字模板，支持插入文本、分割线和导入外接U盘的音乐、图片，可针对自定义内容保存为模板，自由导入、导出主题，并可同步展示到分组端显示。</w:t>
            </w:r>
          </w:p>
          <w:p w14:paraId="73BE60D7">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19.扫码带走：支持将截屏的图片和录制的视频通过扫描二维码或下载链接保存到客户端，用户可选择公网模式或局域网模式，在教学互动终端接入互联网或断开互联网时均可生成二维码。</w:t>
            </w:r>
          </w:p>
          <w:p w14:paraId="557B9D47">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20.设备监测：支持查看教学互动终端的内存、CPU、硬盘、网络等使用情况，还可支持详细查看视频质量和声音质量。</w:t>
            </w:r>
          </w:p>
          <w:p w14:paraId="2F6DCA44">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21.音量调节：支持对屏幕端音视频的一键静音和解除静音，关闭麦克风和打开麦克风，并可手动调节音量大小和选择声音输入输出设备，还可支持播放测试音和启用侦听。</w:t>
            </w:r>
          </w:p>
          <w:p w14:paraId="6FAF9A6C">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反向控制：支持在触控显示屏上对HDMI有线接入的Windows电脑进行反向控制操作，支持无线投屏的部分Android、Windows设备进行反向控制操作，同时还支持在遥控器APP端或通过教学互动终端外接的鼠标进行反向控制。</w:t>
            </w:r>
          </w:p>
          <w:p w14:paraId="7F78AA0A">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23.安全策略：支持设置随机PIN码和固定PIN码，移动端设备无线投屏或使用遥控器APP时均需输入对应的PIN码；还可支持设置管理员密码和密码提示信息，每次进入“设置”界面均需要输入管理员密码。</w:t>
            </w:r>
          </w:p>
          <w:p w14:paraId="676F5D69">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24.个性化设置：支持修改教学互动终端名称、设置开机画面壁纸、选择默认屏幕布局、开启辅助控制和首页展示遥控器APP二维码等功能。</w:t>
            </w:r>
          </w:p>
          <w:p w14:paraId="2E878C9A">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课堂互动系统</w:t>
            </w:r>
          </w:p>
          <w:p w14:paraId="517D36B2">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1.上课登录：支持教师通过微信扫描二维码进行登录；支持教师输入账号和密码进行登录；支持教师以访客模式进行登录。</w:t>
            </w:r>
          </w:p>
          <w:p w14:paraId="6909F470">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2.开启本地课堂：支持按照科目和班级开始上课，学生可使用反馈器、手写板和微信小程序参与对应班级的互动。</w:t>
            </w:r>
          </w:p>
          <w:p w14:paraId="0EB89718">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3.创建临时课堂：支持教师以访客模式创建临时课堂，学生无需登录账号即可通过微信小程序参与互动。</w:t>
            </w:r>
          </w:p>
          <w:p w14:paraId="3FC93FE3">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4.反馈器互动：支持学生反馈器手动签到，支持完成单选题、多选题、判断题、算术题的重复作答，系统自动生成多次答题的柱状图对比数据，支持教师端发起投票、挑人、抢答功能。</w:t>
            </w:r>
          </w:p>
          <w:p w14:paraId="5781889B">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5.手写板互动：支持学生手写板开机后自动连接教学互动终端并自动签到，支持完成单选题、多选题、判断题、算术题、手写题的作答，支持教师端发起投票、挑人、抢答功能。</w:t>
            </w:r>
          </w:p>
          <w:p w14:paraId="7352E9D3">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6.微信小程序互动：支持学生通过微信扫描二维码进入课堂并完成签到，支持完成单选题、多选题、判断题、算术题、简答题的作答，支持教师端发起投票、挑人功能。</w:t>
            </w:r>
          </w:p>
          <w:p w14:paraId="71DF5C1F">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7.云空间：支持﻿将存储在云平台的文件上屏展示、下载到本地或进行删除，文件内容可包含图片、视频、音频和文档，并具备1GB存储空间；支持在下载列表界面一键清空当前下载的文件。</w:t>
            </w:r>
          </w:p>
          <w:p w14:paraId="7D9F8D84">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8.课程报告：支持对学生签到信息、发起答题数量、出勤率、答题正确率进行统计，支持教师通过答题列表查看答题柱状图、查看题目和修改正确答案。</w:t>
            </w:r>
          </w:p>
          <w:p w14:paraId="3EED003F">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9.教师微信助手：支持使用教师端小程序发起单选题、多选题、判断题、算术题、手写题、简答题的作答和投票、挑人、抢答功能；支持查看本地课堂和临时课堂的统计数据。</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72FAAA63">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多屏互动系统</w:t>
            </w:r>
          </w:p>
          <w:p w14:paraId="2A4BB25D">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双屏显示：支持1个教学互动终端外接2个显示屏，显示模式包含镜像模式、扩展模式两种显示效果。镜像模式下，主副屏显示同样画面；扩展模式下，可实现如下功能：支持在主屏通过手势向左、右划动将当前任意一个显示画面拖至副屏，向下划动可将拖至副屏的画面下屏，也可点击主屏画面右下角快捷键实现同样效果；支持在主屏将设备画面、分组画面、U盘/云盘/内置硬盘/遥控器APP上传的本地文件和云空间下载文件，发布到副屏展示，并支持单屏显示或Auto模式显示，Auto模式下最多可支持4组内容进行对比展示；支持主副屏的PPT联动，在主屏显示PPT内容时可一键开启联动模式，PPT每翻至下一页，副屏即自动显示PPT上一页内容。</w:t>
            </w:r>
          </w:p>
          <w:p w14:paraId="039B4BA0">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分组互动：支持教师端创建合作组，自动生成入组验证码，在分组端手动输入验证码即可加入合作组，可实现如下功能：针对已加入合作组的分组端，可设定开机广播；支持将教师端画面一键广播到全部分组或单独广播到指定分组；在广播状态下，分组端可选择暂离广播或接收广播；可同时抓取多个分组端画面到教师端对比展示，并支持广播至所有分组端；可将任意一个分组端画面，推送到其他分组端，同时支持批注操作。</w:t>
            </w:r>
          </w:p>
          <w:p w14:paraId="3B30A72E">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文件发送：支持将教师端的图片、视频、Office文档等文件资料发送到分组端，可实现如下功能：支持在教师端查看U盘/云盘/内置硬盘/遥控器APP上传的本地文件和云空间下载文件，并发送到全部分组或指定分组；支持在教师端一键截屏当前屏幕画面，并发送到全部分组或指定分组；支持将教师端白板书写或批注状态下的画面发送到全部分组或指定分组。</w:t>
            </w:r>
          </w:p>
          <w:p w14:paraId="3CFA470B">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4.分组屏管控：支持教师端对所有分组端发送一次性指令，如开始录制、结束录制、清空接收文件、息屏、唤醒、重启、关机、界面布局调整、音量调节等操作。</w:t>
            </w:r>
          </w:p>
          <w:p w14:paraId="351D5C86">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5.协同批注：在教师端广播状态下进行批注或白板书写时，所有分组端可同步进行批注和白板书写，支持画笔、板擦、撤销、重做等功能。</w:t>
            </w:r>
          </w:p>
          <w:p w14:paraId="10BA32F7">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常态录播系统</w:t>
            </w:r>
          </w:p>
          <w:p w14:paraId="676A1676">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1.摄像机选择：支持添加追踪摄像机并对摄像机镜头和焦距进行控制，实现对教师、学生、板书的自动跟踪拍摄和切换。</w:t>
            </w:r>
          </w:p>
          <w:p w14:paraId="724E35EA">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2.录制质量：提供720P和1080P视频显示格式可选，支持屏幕与摄像机画面的同步录制和外接麦克风声音的同步录入。</w:t>
            </w:r>
          </w:p>
          <w:p w14:paraId="2EF916EC">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录制模式：支持常态录播模式、电影模式、手动导播模式。常态录播模式下，可手动选择版式和画面，可接入所有类型摄像机；电影模式下，录制画面始终为单屏显示，并自动跟随教学场景切换屏幕画面和跟踪摄像机画面；手动导播模式下，可通过手动导播软件进行画面的选择和切换。</w:t>
            </w:r>
          </w:p>
          <w:p w14:paraId="5D60FC3F">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4.录制版式：支持1屏、2屏（均分屏幕、一大一小、画中画）、3屏等多种画面布局，用户可自定义版式和画面。</w:t>
            </w:r>
          </w:p>
          <w:p w14:paraId="62757A5A">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5.画面选择：支持大屏画面、教师全景画面、教师特写画面、学生全景画面、学生特写画面共5路可视化信号的选择和切换，支持设定自动导播画面进行预览和选择。</w:t>
            </w:r>
          </w:p>
          <w:p w14:paraId="0413F389">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6.录制方式：支持多种方式开启录制，如教学互动终端的“录制”按键、屏幕工具条的“录制”按钮和遥控器APP的“录制”按钮。</w:t>
            </w:r>
          </w:p>
          <w:p w14:paraId="2807AF60">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手动导播：支持通过手动导播软件实现摄像机画面、大屏画面的手动切换及分屏展示，可实现如下功能：默认7种画面布局，包含双画面、三画面和五画面，支持通过布局快照新增画面布局；支持对网络摄像机画面进行上下左右移动和放大、缩小等操作，支持对已预置的机位进行一键切换和修改保存；支持开启推流直播和课程录制，可通过历史记录查看录制的视频，可查看录制时间、文件大小和时长，支持下载到本地。</w:t>
            </w:r>
          </w:p>
          <w:p w14:paraId="50DB6DB4">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8.录播课堂：支持教学互动终端绑定录播平台，支持通过录播平台发起视频录制和直播，录制的视频可保存在平台中。</w:t>
            </w:r>
          </w:p>
        </w:tc>
        <w:tc>
          <w:tcPr>
            <w:tcW w:w="230" w:type="pct"/>
            <w:tcBorders>
              <w:top w:val="single" w:color="auto" w:sz="8" w:space="0"/>
            </w:tcBorders>
            <w:vAlign w:val="center"/>
          </w:tcPr>
          <w:p w14:paraId="2347D248">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套</w:t>
            </w:r>
          </w:p>
        </w:tc>
        <w:tc>
          <w:tcPr>
            <w:tcW w:w="275" w:type="pct"/>
            <w:tcBorders>
              <w:top w:val="single" w:color="auto" w:sz="8" w:space="0"/>
            </w:tcBorders>
            <w:vAlign w:val="center"/>
          </w:tcPr>
          <w:p w14:paraId="6CEE58A6">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r>
      <w:tr w14:paraId="05A3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1DB3CCB5">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07418E7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互动小组主机</w:t>
            </w:r>
          </w:p>
        </w:tc>
        <w:tc>
          <w:tcPr>
            <w:tcW w:w="3737" w:type="pct"/>
            <w:tcBorders>
              <w:top w:val="single" w:color="auto" w:sz="8" w:space="0"/>
            </w:tcBorders>
            <w:shd w:val="clear" w:color="auto" w:fill="auto"/>
            <w:vAlign w:val="center"/>
          </w:tcPr>
          <w:p w14:paraId="05110679">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1、主机采用安卓操作系统。RAM≥ 8GB，ROM≥ 128GB且可扩展至1TB及以上，CPU采用X86架构，CPU主频≥1.8GHZ。</w:t>
            </w:r>
          </w:p>
          <w:p w14:paraId="137262B6">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2、内置无线AP，其中内置无线AP采用内置天线，无外置裸露天线，WiFi支持：IEEE 802.11 a/b/g/n/ac，工作频段：2.4GHz和5GHz，最大无线速率：1.3Gbps。</w:t>
            </w:r>
          </w:p>
          <w:p w14:paraId="13521B31">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3、网络模式：需支持无线路由器、无线交换和网络终端三种网络模式。</w:t>
            </w:r>
          </w:p>
          <w:p w14:paraId="30E90B2E">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4、主机接口：电源键 *1，录制键 *1；内置具备至少3个10/100/1000Mbps以太网RJ45数据接口，支持WAN口外接网线接入互联网，或LAN口外接网线输出网络数据；具备至少3个USB 接口，支持U盘、鼠标、键盘、摄像头的接入；具备至少1个HDMI输入接口，支持电脑、摄像头、实物展台等外部设备的有线接入；具备至少1个HDMI输出接口，支持输出到一体机、电视机等大屏端，HDMI输出适配：支持多种显示分辨率，主机可自动适配HDMI外接的大屏端分辨率，最高支持3840*2160分辨率；具备至少一路音频输入接口和一路音频输出接口。</w:t>
            </w:r>
          </w:p>
          <w:p w14:paraId="7C0B9151">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5、投屏距离：需支持远距离稳定流畅的无线投屏，投屏的最大传输距离不小于100m。</w:t>
            </w:r>
          </w:p>
          <w:p w14:paraId="3C76881B">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6、主机尺寸：长≤ 280mm、宽≤ 250mm、厚≤ 70mm；重量≤ 1.5KG。</w:t>
            </w:r>
          </w:p>
          <w:p w14:paraId="4C09F8EC">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7、主机采用低功耗安全电压设计，DC*1输入，12V-3A，支持上电自动开机功能，LED工作状态指示灯。</w:t>
            </w:r>
          </w:p>
        </w:tc>
        <w:tc>
          <w:tcPr>
            <w:tcW w:w="230" w:type="pct"/>
            <w:tcBorders>
              <w:top w:val="single" w:color="auto" w:sz="8" w:space="0"/>
            </w:tcBorders>
            <w:vAlign w:val="center"/>
          </w:tcPr>
          <w:p w14:paraId="277046B2">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台</w:t>
            </w:r>
          </w:p>
        </w:tc>
        <w:tc>
          <w:tcPr>
            <w:tcW w:w="275" w:type="pct"/>
            <w:tcBorders>
              <w:top w:val="single" w:color="auto" w:sz="8" w:space="0"/>
            </w:tcBorders>
            <w:vAlign w:val="center"/>
          </w:tcPr>
          <w:p w14:paraId="3A0610CE">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r>
      <w:tr w14:paraId="2A98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7BB5D0FC">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2E60D90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小组端主机系统软件</w:t>
            </w:r>
          </w:p>
        </w:tc>
        <w:tc>
          <w:tcPr>
            <w:tcW w:w="3737" w:type="pct"/>
            <w:tcBorders>
              <w:top w:val="single" w:color="auto" w:sz="8" w:space="0"/>
            </w:tcBorders>
            <w:shd w:val="clear" w:color="auto" w:fill="auto"/>
            <w:vAlign w:val="center"/>
          </w:tcPr>
          <w:p w14:paraId="7D149EE2">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多媒体教学系统</w:t>
            </w:r>
          </w:p>
          <w:p w14:paraId="59967528">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1.中英文切换：系统支持简体中文和英文两种语言模式，可快速进行中英文的切换，满足双语教学的要求。</w:t>
            </w:r>
          </w:p>
          <w:p w14:paraId="37B99D21">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屏幕工具条：用户可直接在触控显示屏上点击系统工具条，或通过鼠标点击工具条进行操作，工具条具有截屏、录制、广播、布局、切屏、批注、白板、互动等功能按钮，并显示时间、设备名称、网络IP等信息。</w:t>
            </w:r>
          </w:p>
          <w:p w14:paraId="3AE6DC5C">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3.软件遥控器：教学互动终端无需硬件遥控器或USB切换器，用户只需扫码下载遥控器APP即可将移动终端作为控制端，支持Windows、Android、iOS系统的设备安装控制端软件。</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28384500">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4.全屏缩放：支持在遥控器APP端或触控显示屏端对显示画面进行缩小、放大操作，能够对单屏或多屏画面进行最大400%放大。</w:t>
            </w:r>
          </w:p>
          <w:p w14:paraId="4E500D12">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移动端无线投屏：支持不少于16路终端设备同时接入教学互动终端，支持AirPlay、Miracast、WIDI主流投屏协议，iOS、macOS、Android和Windows系统设备无需安装任何APP即可直接投屏，并可自由拖动画面位置，支持对设备画面进行静音、旋转、全屏、移除等操作。</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618163E9">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6.手写板投屏：支持手写板设备通过连接教学互动终端，手写板书写笔迹可实时呈现在显示屏，支持对手写板画面进行旋转、清屏、移除等操作。</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69C30CC5">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文件读取：系统支持查看U盘、云盘、内置硬盘和遥控器APP上传的本地文件和云空间下载文件，可实现如下功能：支持将外接U盘中的图片、视频、音频、文档等文件资料直接上屏展示；支持通过截屏和录制将存储在图库（U盘、云盘、内置硬盘）中的图片、视频直接上屏展示；支持通过遥控器APP将手机/平板中的图片、视频、文档等本地文件上传至教学互动终端展示，支持通过遥控器APP使用手机/平板的相机拍摄照片或录制视频上传至教学互动终端展示；支持将从云空间下载到本地的图片、视频、音频、文档等文件资料直接上屏展示；支持将外接U盘中、遥控器APP上传的或云空间下载的PPT演示文稿以演讲模式进行放映，演讲模式下可实现PPT的动画效果和内嵌视频播放。</w:t>
            </w:r>
          </w:p>
          <w:p w14:paraId="5323D3EA">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设备和文件分类：系统自动对设备（有线接入设备、无线投屏设备）、文件（U盘、云盘、内置硬盘、遥控器APP上传的本地文件和云空间下载文件）、分组（分组端教学互动终端）进行分类；支持对已连接的设备进行置顶、重命名、移动至分组等操作。</w:t>
            </w:r>
          </w:p>
          <w:p w14:paraId="651AAD25">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画面布局：支持1、2、3、4、6、8屏画面布局，画面支持多种对比模式（如均分屏幕、一大两小、一大三小、窗口悬浮等不少于11种默认画面布局），一键点击即可选择相应布局，已设置好的布局具有画面记忆功能，即布局模式更换后，原布局内的设备画面自动存储记忆，不会清屏或更改；Auto布局模式下可自动适应多种画面布局。</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71326F65">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界面布局：支持全屏模式、显示工具条模式和研讨模式。全屏模式下，工具条自动隐藏，隐藏后可点击隐藏按钮再次显示，且无操作10秒钟后，工具条会继续隐藏；显示工具条模式下，支持工具条显示在左边或右边；研讨模式下，自动隐藏切屏按钮，可选择在屏幕左边或右边始终显示设备缩略图，可将设备画面、文件画面、分组画面等快速上屏展示。</w:t>
            </w:r>
          </w:p>
          <w:p w14:paraId="085C910A">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11.一键截屏：支持一键截取当前屏幕的显示画面，截屏的图片可保存在外接U盘、云盘或内置硬盘中，支持将存储在外接U盘、云盘或内置硬盘中的图片下载到本地。</w:t>
            </w:r>
          </w:p>
          <w:p w14:paraId="595C6987">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微课录制：支持屏幕多画面和外接麦克风声音同步录入，提供720P和1080P视频显示格式可选，录制的视频可保存在外接U盘、云盘或内置硬盘中，支持存储空间不足时的文字提醒功能；支持多种方式开启微课录制，如教学互动终端的“录制”按键、屏幕工具条的“录制”按钮。</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12DFA1AA">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白板批注：系统提供画笔、宽度、板擦、清空、撤销、重做、聚焦、随写板等工具；支持普通画笔和荧光画笔书写，提供红、橙、黄、绿、青、蓝、紫等9种画笔颜色和圆形、长方形、三角形、六边形等9种图形类别，并支持选择画笔书写和图形绘制的线条宽度；支持板擦手势擦除或滑动擦除当前书写内容；支持一键清空、撤销或重做；支持批注界面下的显示画面聚焦，可自由拖拽显示位置和显示比例，讲解模式下可将当前显示区域截取到白板中，支持截取多张图片和置顶某张图片；关灯模式下可将当前显示区域以外的画面进行黑屏操作；支持白板界面下的随写板书写，可悬浮于屏幕画面的上层显示，并自由拖拽显示位置和显示比例，支持一键滑动清除、最小化、还原初始大小和翻页等操作；支持添加多页白板并进行上下翻页，可同时预览多页白板的缩略图，最多可添加至50页；支持一键清空当前创建的所有白板；支持批注内容、白板书写内容保存至本地或上传至云空间，支持调取二维码用于扫码下载当前界面的截图。</w:t>
            </w:r>
          </w:p>
          <w:p w14:paraId="2C658FC0">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14.App应用：支持第三方应用程序嵌入式安装在教学互动终端，无需借助教师平板可直接开启师生互动软件，完成智慧课堂教学互动过程。</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12F0F90B">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15.Web应用：支持添加第三方Web端网页链接，可支持在屏幕端展示1、2、3、4、6、8个网页界面。</w:t>
            </w:r>
          </w:p>
          <w:p w14:paraId="5AB595C8">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欢迎主题：系统内置不少于14种模板，可选择系统模板、自定义模板和文字模板，支持插入文本、分割线和导入外接U盘的音乐、图片，可针对自定义内容保存为模板，自由导入、导出主题，并可同步展示到分组端显示。</w:t>
            </w:r>
          </w:p>
          <w:p w14:paraId="4562881C">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17.扫码带走：支持将截屏的图片和录制的视频通过扫描二维码或下载链接保存到客户端，用户可选择公网模式或局域网模式，在教学互动终端接入互联网或断开互联网时均可生成二维码。</w:t>
            </w:r>
          </w:p>
          <w:p w14:paraId="36A989F4">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18.设备监测：支持查看教学互动终端的内存、CPU、硬盘、网络等使用情况，还可支持详细查看视频质量和声音质量。</w:t>
            </w:r>
          </w:p>
          <w:p w14:paraId="4B6C5EE5">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19.音量调节：支持对屏幕端音视频的一键静音和解除静音，关闭麦克风和打开麦克风，并可手动调节音量大小和选择声音输入输出设备，还可支持播放测试音和启用侦听。</w:t>
            </w:r>
          </w:p>
          <w:p w14:paraId="71DAD6DE">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反向控制：支持在触控显示屏上对HDMI有线接入的Windows电脑进行反向控制操作，支持无线投屏的部分Android、Windows设备进行反向控制操作，同时还支持在遥控器APP端或通过教学互动终端外接的鼠标进行反向控制。</w:t>
            </w:r>
          </w:p>
          <w:p w14:paraId="64F3D5FE">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21.安全策略：支持设置随机PIN码和固定PIN码，移动端设备无线投屏或使用遥控器APP时均需输入对应的PIN码；还可支持设置管理员密码和密码提示信息，每次进入“设置”界面均需要输入管理员密码。</w:t>
            </w:r>
          </w:p>
          <w:p w14:paraId="086E544E">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22.个性化设置：支持修改教学互动终端名称、设置开机画面壁纸、选择默认屏幕布局、开启辅助控制和首页展示遥控器APP二维码等功能。</w:t>
            </w:r>
          </w:p>
          <w:p w14:paraId="75CCD576">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课堂互动系统</w:t>
            </w:r>
          </w:p>
          <w:p w14:paraId="697B96A1">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1.上课登录：支持教师通过微信扫描二维码进行登录；支持教师输入账号和密码进行登录；支持教师以访客模式进行登录。</w:t>
            </w:r>
          </w:p>
          <w:p w14:paraId="3EFA6666">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2.开启本地课堂：支持按照科目和班级开始上课，学生可使用反馈器、手写板和微信小程序参与对应班级的互动。</w:t>
            </w:r>
          </w:p>
          <w:p w14:paraId="3520FAE4">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3.创建临时课堂：支持教师以访客模式创建临时课堂，学生无需登录账号即可通过微信小程序参与互动。</w:t>
            </w:r>
          </w:p>
          <w:p w14:paraId="47B06789">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4.反馈器互动：支持学生反馈器手动签到，支持完成单选题、多选题、判断题、算术题的重复作答，系统自动生成多次答题的柱状图对比数据，支持教师端发起投票、挑人、抢答功能。</w:t>
            </w:r>
          </w:p>
          <w:p w14:paraId="4A39FA9C">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5.手写板互动：支持学生手写板开机后自动连接教学互动终端并自动签到，支持完成单选题、多选题、判断题、算术题、手写题的作答，支持教师端发起投票、挑人、抢答功能。</w:t>
            </w:r>
          </w:p>
          <w:p w14:paraId="66C9B8C5">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6.微信小程序互动：支持学生通过微信扫描二维码进入课堂并完成签到，支持完成单选题、多选题、判断题、算术题、简答题的作答，支持教师端发起投票、挑人功能。</w:t>
            </w:r>
          </w:p>
          <w:p w14:paraId="1FDF5900">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7.云空间：支持将存储在云平台的文件上屏展示、下载到本地或进行删除，文件内容可包含图片、视频、音频和文档，并具备1GB存储空间；支持在下载列表界面一键清空当前下载的文件。</w:t>
            </w:r>
          </w:p>
          <w:p w14:paraId="1F6EB327">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8.课程报告：支持对学生签到信息、发起答题数量、出勤率、答题正确率进行统计，支持教师通过答题列表查看答题柱状图、查看题目和修改正确答案。</w:t>
            </w:r>
          </w:p>
          <w:p w14:paraId="76D96E27">
            <w:pPr>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9.教师微信助手：支持使用教师端小程序发起单选题、多选题、判断题、算术题、手写题、简答题的作答和投票、挑人、抢答功能；还支持查看本地课堂和临时课堂的统计数据。</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lang w:eastAsia="zh-CN"/>
                <w14:textFill>
                  <w14:solidFill>
                    <w14:schemeClr w14:val="tx1"/>
                  </w14:solidFill>
                </w14:textFill>
              </w:rPr>
              <w:t>供应商应在响应文件中</w:t>
            </w:r>
            <w:r>
              <w:rPr>
                <w:rFonts w:hint="eastAsia" w:ascii="仿宋" w:hAnsi="仿宋" w:eastAsia="仿宋" w:cs="仿宋"/>
                <w:b/>
                <w:bCs/>
                <w:color w:val="000000" w:themeColor="text1"/>
                <w:szCs w:val="21"/>
                <w14:textFill>
                  <w14:solidFill>
                    <w14:schemeClr w14:val="tx1"/>
                  </w14:solidFill>
                </w14:textFill>
              </w:rPr>
              <w:t>提供软件功能截图）</w:t>
            </w:r>
          </w:p>
          <w:p w14:paraId="47B92F9B">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多屏互动系统。</w:t>
            </w:r>
          </w:p>
          <w:p w14:paraId="071F8CB5">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分组互动：支持教师端创建合作组，自动生成入组验证码，在分组端手动输入验证码即可加入合作组，可实现如下功能；针对已加入合作组的分组端，可设定开机广播；支持将教师端画面一键广播到全部分组或单独广播到指定分组；在广播状态下，分组端可选择暂离广播或接收广播；可同时抓取多个分组端画面到教师端对比展示，并支持广播至所有分组端；可将任意一个分组端画面，推送到其他分组端，同时支持批注操作。</w:t>
            </w:r>
          </w:p>
          <w:p w14:paraId="64EAF2F6">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2.文件发送：支持将教师端的图片、视频、Office文件等发送到分组端，可实现如下功能：支持在教师端查看图库/U盘/云盘/内置硬盘/遥控器端上传的文件资料，可发送到全部分组或指定分组；支持在教师端一键截屏当前屏幕画面，可发送到全部分组或指定分组；支持将教师端白板书写或批注状态下的画面发送到全部分组或指定分组。支持将教师端云空间的图片、视频、文档等文件内容发送到全部分组或指定分组。 </w:t>
            </w:r>
          </w:p>
          <w:p w14:paraId="0C712A40">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3.分组屏管控：支持教师端对所有分组端发送一次性指令，如开始录制、结束录制、清空接收文件、息屏、唤醒、重启、关机、界面布局调整、音量调节等操作。</w:t>
            </w:r>
          </w:p>
          <w:p w14:paraId="74B7CF18">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4.协同批注：在教师端广播状态下进行批注或白板书写时，所有分组端可同步进行批注和白板书写，支持画笔、板擦、撤销、重做等功能。</w:t>
            </w:r>
          </w:p>
        </w:tc>
        <w:tc>
          <w:tcPr>
            <w:tcW w:w="230" w:type="pct"/>
            <w:tcBorders>
              <w:top w:val="single" w:color="auto" w:sz="8" w:space="0"/>
            </w:tcBorders>
            <w:vAlign w:val="center"/>
          </w:tcPr>
          <w:p w14:paraId="31429508">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套</w:t>
            </w:r>
          </w:p>
        </w:tc>
        <w:tc>
          <w:tcPr>
            <w:tcW w:w="275" w:type="pct"/>
            <w:tcBorders>
              <w:top w:val="single" w:color="auto" w:sz="8" w:space="0"/>
            </w:tcBorders>
            <w:vAlign w:val="center"/>
          </w:tcPr>
          <w:p w14:paraId="4F1C6252">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r>
      <w:tr w14:paraId="2C05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6F06C685">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220567D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智写板</w:t>
            </w:r>
          </w:p>
        </w:tc>
        <w:tc>
          <w:tcPr>
            <w:tcW w:w="3737" w:type="pct"/>
            <w:tcBorders>
              <w:top w:val="single" w:color="auto" w:sz="8" w:space="0"/>
            </w:tcBorders>
            <w:shd w:val="clear" w:color="auto" w:fill="auto"/>
            <w:vAlign w:val="center"/>
          </w:tcPr>
          <w:p w14:paraId="4B25173D">
            <w:pPr>
              <w:widowControl/>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1.采用电磁压感，无源无线，压感等级2048 levels，感应精度不低于正负 0.254mm；</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2.采用wifi双频传输，0.96寸 OLED 显示屏，128*64 12C/SPI 接口液晶屏，可显示连接状态、电量、设备ID等信息；</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3.物理开关按键、切换键、其他功能按键不少于12个；</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4.电池容量不小于4400mAh，续航时间：实时模式连接不间断书写时间不低于 20 个小时；支持Type-C接口充电；</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5.操作温度和湿度：5-40℃， 20-80%RH；储存温度和湿度：-10-60℃  20-90%RH；</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6.支持45 分钟不使用则休眠,超过 60 分钟不使用关机断电；</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7.支持60个学生设备数据并发传输，通过无线路由器（AP）的wifi实现无线传输点对点发射，无干扰；</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8.所有的操作和使用均尊重传统的书写和授课习惯，学生拿起笔在任意纸张上书写，不改变传统作业书写流程；</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9.笔在纸上书写的同时，书写内容被实时传送到接收端屏幕，从而实现纸上互动教学和交流的目标；</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10.同时完成对学生书写过程数据的采集记录与分析，实现了教学的信息化与数据化；</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11.配备专用数字出水笔，压感灵敏度达到2048级，电磁感应方式；</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12.外观尺寸不小于364.27mm x 239.83mm x 15.57mm，有效区域不小于297mm*210mm。</w:t>
            </w:r>
          </w:p>
        </w:tc>
        <w:tc>
          <w:tcPr>
            <w:tcW w:w="230" w:type="pct"/>
            <w:tcBorders>
              <w:top w:val="single" w:color="auto" w:sz="8" w:space="0"/>
            </w:tcBorders>
            <w:vAlign w:val="center"/>
          </w:tcPr>
          <w:p w14:paraId="5BCC3EE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套</w:t>
            </w:r>
          </w:p>
        </w:tc>
        <w:tc>
          <w:tcPr>
            <w:tcW w:w="275" w:type="pct"/>
            <w:tcBorders>
              <w:top w:val="single" w:color="auto" w:sz="8" w:space="0"/>
            </w:tcBorders>
            <w:vAlign w:val="center"/>
          </w:tcPr>
          <w:p w14:paraId="3873B1F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w:t>
            </w:r>
          </w:p>
        </w:tc>
      </w:tr>
      <w:tr w14:paraId="121A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3E516F39">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72A49AED">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校内外直播部分</w:t>
            </w:r>
          </w:p>
        </w:tc>
        <w:tc>
          <w:tcPr>
            <w:tcW w:w="3737" w:type="pct"/>
            <w:tcBorders>
              <w:top w:val="single" w:color="auto" w:sz="8" w:space="0"/>
            </w:tcBorders>
            <w:shd w:val="clear" w:color="auto" w:fill="FABF8F"/>
            <w:vAlign w:val="center"/>
          </w:tcPr>
          <w:p w14:paraId="265C5B08">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4E6DDC70">
            <w:pPr>
              <w:jc w:val="center"/>
              <w:rPr>
                <w:rFonts w:hint="eastAsia" w:ascii="仿宋" w:hAnsi="仿宋" w:eastAsia="仿宋" w:cs="仿宋"/>
                <w:b/>
                <w:color w:val="000000" w:themeColor="text1"/>
                <w:szCs w:val="21"/>
                <w14:textFill>
                  <w14:solidFill>
                    <w14:schemeClr w14:val="tx1"/>
                  </w14:solidFill>
                </w14:textFill>
              </w:rPr>
            </w:pPr>
          </w:p>
          <w:p w14:paraId="00279105"/>
        </w:tc>
        <w:tc>
          <w:tcPr>
            <w:tcW w:w="275" w:type="pct"/>
            <w:tcBorders>
              <w:top w:val="single" w:color="auto" w:sz="8" w:space="0"/>
            </w:tcBorders>
            <w:shd w:val="clear" w:color="auto" w:fill="FABF8F"/>
            <w:vAlign w:val="center"/>
          </w:tcPr>
          <w:p w14:paraId="153A8AEE">
            <w:pPr>
              <w:jc w:val="center"/>
              <w:rPr>
                <w:rFonts w:hint="eastAsia" w:ascii="仿宋" w:hAnsi="仿宋" w:eastAsia="仿宋" w:cs="仿宋"/>
                <w:b/>
                <w:color w:val="000000" w:themeColor="text1"/>
                <w:szCs w:val="21"/>
                <w14:textFill>
                  <w14:solidFill>
                    <w14:schemeClr w14:val="tx1"/>
                  </w14:solidFill>
                </w14:textFill>
              </w:rPr>
            </w:pPr>
          </w:p>
        </w:tc>
      </w:tr>
      <w:tr w14:paraId="62EC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3D1C3AD3">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17272DC1">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智慧教学管理平台</w:t>
            </w:r>
          </w:p>
        </w:tc>
        <w:tc>
          <w:tcPr>
            <w:tcW w:w="3737" w:type="pct"/>
            <w:tcBorders>
              <w:top w:val="single" w:color="auto" w:sz="8" w:space="0"/>
            </w:tcBorders>
            <w:shd w:val="clear" w:color="auto" w:fill="auto"/>
            <w:vAlign w:val="center"/>
          </w:tcPr>
          <w:p w14:paraId="69FA0EA0">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1.信息管理系统</w:t>
            </w:r>
          </w:p>
          <w:p w14:paraId="0A9CD64A">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（1）录播管理：支持把录播设备接入平台，实现自动转码、无缝直播点播，并具备直播和点播功能。支持对录播进行远程关机、休眠唤醒、启动录制等操作。提供软件功能界面截图。</w:t>
            </w:r>
          </w:p>
          <w:p w14:paraId="35B532D1">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（2）多级平台对接：支持校平台与上级区平台进行对接，校平台资源可像区平台提交，并能参加区平台组织的活动。</w:t>
            </w:r>
          </w:p>
          <w:p w14:paraId="14F4D783">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（3）录制预约：平台支持用户远程进行在线录课预约，可实现单个或批量预约；可直接导入课表实现预约；支持预约信息的申请和审核管理。</w:t>
            </w:r>
          </w:p>
          <w:p w14:paraId="38BDB836">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（4）资源颗粒度管理：支持视频资源多维度分类，如按年级、学科等分类管理，支持用户自定义分类类型。</w:t>
            </w:r>
          </w:p>
          <w:p w14:paraId="4072EA0F">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（5）视频专辑：支持用户可灵活创建各种视频专辑，并自定义专辑类型，可将一同类型的视频进行归类，便于视频的归整和便捷查询。</w:t>
            </w:r>
          </w:p>
          <w:p w14:paraId="61716804">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公告发布：平台首页提供公告模块，支持通过平台发布校务公告、活动通知、行政公告、直播通知、紧急通告等多种类型公告。公告支持按定义的类型进行归类查询，支持用户自定义公告类型。提供平台首页公告截图及上述类型的公告设置功能界面截图。</w:t>
            </w:r>
          </w:p>
          <w:p w14:paraId="73046C57">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（7）自动转码功能：支持视频下载、上传、编辑、管理。可实现所有主流视频文件格式自动转码，可设置下载及观看权限。</w:t>
            </w:r>
          </w:p>
          <w:p w14:paraId="0D16D4A4">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虚拟切片：支持视频自动划分知识点和教学环节片段，且不破坏视频原来的完整性。知识点与教学环节目录支持在浏览器内下呈现，支持快速点击跳转到相应节点播放。支持对上传的视频添加和修改“知识点”和“教学环节”。提供添加和修改的功能界面截图。</w:t>
            </w:r>
          </w:p>
          <w:p w14:paraId="0FA6C7BE">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（9）教学行为分析：支持弗兰德斯教学行为分析法（S-T），平台根据跟踪数据生成S-T曲线图，帮助用户进行教学技能提升和评估。S-T行为数据支持后期在线编辑修改，便于教师进行错误修正。</w:t>
            </w:r>
          </w:p>
          <w:p w14:paraId="40C5D76B">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（10）文件检索：支持关键字搜索功能，用户可直接在资源管理平台的页面搜索框输入关键字，对某个视频标题等进行搜索。</w:t>
            </w:r>
          </w:p>
          <w:p w14:paraId="1050C90D">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（11）一键置灰：支持平台肤色一键置灰功能，切合特殊纪念日氛围。</w:t>
            </w:r>
          </w:p>
          <w:p w14:paraId="3E4D7ACC">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（12）强制播放：支持强制设置播放源，用户点击任意视频均强制播放视频源，便于学校进行统一播放和管理。</w:t>
            </w:r>
          </w:p>
          <w:p w14:paraId="23F50769">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13）流量统计：支持平台对用户访问数、页面访问数进行数量统计，用户流量可按日、周、月、年、总浏览数进行分类统计。支持对视频直播流量、点播流量统计，并以曲线图形式展现10天内的访问流量变化趋势。提供功能界面截图。</w:t>
            </w:r>
          </w:p>
          <w:p w14:paraId="277D45F4">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14）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p>
          <w:p w14:paraId="42E29569">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2.直播点播系统</w:t>
            </w:r>
          </w:p>
          <w:p w14:paraId="0B9BB4D3">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（1）基于flash+html5技术，无需安装插件即可进行跨平台（Windows、Linux、IOS）视频点播观看。</w:t>
            </w:r>
          </w:p>
          <w:p w14:paraId="2D95C084">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（2）支持流媒体转发服务，平台支持不少于200点以上高清直播功能。</w:t>
            </w:r>
          </w:p>
          <w:p w14:paraId="734E061D">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（3）集群技术：支持直播集群技术，以支持系统的横向拓展，随系统应用规模的拓展逐渐增加转发服务器以支持更大规模直播。</w:t>
            </w:r>
          </w:p>
          <w:p w14:paraId="724159D2">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（4）多码率支持：要求转发时支持标清、高清两种清晰度设置，点播视频时可根据网络情况在播放器窗口进行高标清切换观看。</w:t>
            </w:r>
          </w:p>
          <w:p w14:paraId="4E0815AA">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（5）支持直播权限及密码设置，让直播信息更加安全。</w:t>
            </w:r>
          </w:p>
          <w:p w14:paraId="653CC203">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（6）支持上传教案、课件等视频附件，附件可与视频进行绑定。支持word、excel、ppt、PDF、jpeg等格式。用户在点播视频时下载附件。</w:t>
            </w:r>
          </w:p>
          <w:p w14:paraId="03780DAD">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（7）提供视频转发分享功能，支持二维码分享和一键转发分享至新浪微博、QQ、微信等社交平台中。</w:t>
            </w:r>
          </w:p>
          <w:p w14:paraId="5CEEAC4F">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3.微课管理系统</w:t>
            </w:r>
          </w:p>
          <w:p w14:paraId="43A75504">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（1）提供微课管理模块，支持自定义微课时长限制，在规定时长内的视频上传平台后自动归类到微课模块当中，并支持按学段、学科进行自动归类整理。</w:t>
            </w:r>
          </w:p>
          <w:p w14:paraId="1BC60FD2">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（2）提供专业微课录制软件，支持直接从平台下载微课录制软件并安装于笔记本电脑中。微课视频录制完毕后支持一键上传到平台，或下载到本地电脑保存。</w:t>
            </w:r>
          </w:p>
          <w:p w14:paraId="177E4CE8">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（3）微课录制软件需满足包括教师头像、实物展台、课件PPT在内的三路视频源切换及组合布局录制，支持课件与老师画中画模式。</w:t>
            </w:r>
          </w:p>
          <w:p w14:paraId="1FD20A44">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（4）支持PPT课件导入、课件批注，在微课录制的同时支持PPT分页预览，并进行切换录制。</w:t>
            </w:r>
          </w:p>
        </w:tc>
        <w:tc>
          <w:tcPr>
            <w:tcW w:w="230" w:type="pct"/>
            <w:tcBorders>
              <w:top w:val="single" w:color="auto" w:sz="8" w:space="0"/>
            </w:tcBorders>
            <w:vAlign w:val="center"/>
          </w:tcPr>
          <w:p w14:paraId="798D4FA0">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套</w:t>
            </w:r>
          </w:p>
        </w:tc>
        <w:tc>
          <w:tcPr>
            <w:tcW w:w="275" w:type="pct"/>
            <w:tcBorders>
              <w:top w:val="single" w:color="auto" w:sz="8" w:space="0"/>
            </w:tcBorders>
            <w:vAlign w:val="center"/>
          </w:tcPr>
          <w:p w14:paraId="5607388F">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6328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FFFFF" w:themeFill="background1"/>
            <w:vAlign w:val="center"/>
          </w:tcPr>
          <w:p w14:paraId="7BD92E5F">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shd w:val="clear" w:color="auto" w:fill="FFFFFF" w:themeFill="background1"/>
            <w:vAlign w:val="center"/>
          </w:tcPr>
          <w:p w14:paraId="70E914B5">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资源平台主机</w:t>
            </w:r>
          </w:p>
        </w:tc>
        <w:tc>
          <w:tcPr>
            <w:tcW w:w="3737" w:type="pct"/>
            <w:tcBorders>
              <w:top w:val="single" w:color="auto" w:sz="8" w:space="0"/>
            </w:tcBorders>
            <w:shd w:val="clear" w:color="auto" w:fill="FFFFFF" w:themeFill="background1"/>
            <w:vAlign w:val="center"/>
          </w:tcPr>
          <w:p w14:paraId="0FF8CC29">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1)外观结构：≤1U高度</w:t>
            </w:r>
          </w:p>
          <w:p w14:paraId="31AABACE">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2)硬件架构：软硬件一体嵌入式设计，主机出厂内置校园资源管理平台，无需进行复杂的手动安装。</w:t>
            </w:r>
          </w:p>
          <w:p w14:paraId="29BAB2D6">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3)系统支持：Linux系统</w:t>
            </w:r>
          </w:p>
          <w:p w14:paraId="7578A1D6">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4)数据库支持：MYSQL</w:t>
            </w:r>
          </w:p>
          <w:p w14:paraId="2DFB46F1">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5)存储容量：≥4TB SATA 7.2k 3.5in</w:t>
            </w:r>
          </w:p>
          <w:p w14:paraId="3A674697">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6)网络连接：RJ45千兆网口</w:t>
            </w:r>
          </w:p>
          <w:p w14:paraId="182EEC1E">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7)通讯接口：支持≥2个USB2.0接口</w:t>
            </w:r>
          </w:p>
          <w:p w14:paraId="64A8C14E">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8)支持Rst设备一键复位功能</w:t>
            </w:r>
          </w:p>
          <w:p w14:paraId="78E98A33">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9)采用安全电压DC12V或DC24V供电，节能环保</w:t>
            </w:r>
          </w:p>
          <w:p w14:paraId="2E78B7F2">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10）支持流媒体转发、直播、点播功能，单台主机支持不少于200点转发直播、支持大规模点播</w:t>
            </w:r>
          </w:p>
        </w:tc>
        <w:tc>
          <w:tcPr>
            <w:tcW w:w="230" w:type="pct"/>
            <w:tcBorders>
              <w:top w:val="single" w:color="auto" w:sz="8" w:space="0"/>
            </w:tcBorders>
            <w:shd w:val="clear" w:color="auto" w:fill="FFFFFF" w:themeFill="background1"/>
            <w:vAlign w:val="center"/>
          </w:tcPr>
          <w:p w14:paraId="22C9E130">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台</w:t>
            </w:r>
          </w:p>
        </w:tc>
        <w:tc>
          <w:tcPr>
            <w:tcW w:w="275" w:type="pct"/>
            <w:tcBorders>
              <w:top w:val="single" w:color="auto" w:sz="8" w:space="0"/>
            </w:tcBorders>
            <w:shd w:val="clear" w:color="auto" w:fill="FFFFFF" w:themeFill="background1"/>
            <w:vAlign w:val="center"/>
          </w:tcPr>
          <w:p w14:paraId="321F70B1">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649D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53035E33">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0F3A9E31">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五机位采集部分</w:t>
            </w:r>
          </w:p>
        </w:tc>
        <w:tc>
          <w:tcPr>
            <w:tcW w:w="3737" w:type="pct"/>
            <w:tcBorders>
              <w:top w:val="single" w:color="auto" w:sz="8" w:space="0"/>
            </w:tcBorders>
            <w:shd w:val="clear" w:color="auto" w:fill="FABF8F"/>
            <w:vAlign w:val="center"/>
          </w:tcPr>
          <w:p w14:paraId="7B0114A1">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5D6DD6A7">
            <w:pPr>
              <w:jc w:val="center"/>
              <w:rPr>
                <w:rFonts w:hint="eastAsia" w:ascii="仿宋" w:hAnsi="仿宋" w:eastAsia="仿宋" w:cs="仿宋"/>
                <w:b/>
                <w:color w:val="000000" w:themeColor="text1"/>
                <w:szCs w:val="21"/>
                <w14:textFill>
                  <w14:solidFill>
                    <w14:schemeClr w14:val="tx1"/>
                  </w14:solidFill>
                </w14:textFill>
              </w:rPr>
            </w:pPr>
          </w:p>
          <w:p w14:paraId="7FF74714"/>
        </w:tc>
        <w:tc>
          <w:tcPr>
            <w:tcW w:w="275" w:type="pct"/>
            <w:tcBorders>
              <w:top w:val="single" w:color="auto" w:sz="8" w:space="0"/>
            </w:tcBorders>
            <w:shd w:val="clear" w:color="auto" w:fill="FABF8F"/>
            <w:vAlign w:val="center"/>
          </w:tcPr>
          <w:p w14:paraId="714D238B">
            <w:pPr>
              <w:jc w:val="center"/>
              <w:rPr>
                <w:rFonts w:hint="eastAsia" w:ascii="仿宋" w:hAnsi="仿宋" w:eastAsia="仿宋" w:cs="仿宋"/>
                <w:b/>
                <w:color w:val="000000" w:themeColor="text1"/>
                <w:szCs w:val="21"/>
                <w14:textFill>
                  <w14:solidFill>
                    <w14:schemeClr w14:val="tx1"/>
                  </w14:solidFill>
                </w14:textFill>
              </w:rPr>
            </w:pPr>
          </w:p>
        </w:tc>
      </w:tr>
      <w:tr w14:paraId="523C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25A65DD0">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3F237E8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高清录播主机</w:t>
            </w:r>
          </w:p>
        </w:tc>
        <w:tc>
          <w:tcPr>
            <w:tcW w:w="3737" w:type="pct"/>
            <w:tcBorders>
              <w:top w:val="single" w:color="auto" w:sz="8" w:space="0"/>
            </w:tcBorders>
            <w:shd w:val="clear" w:color="auto" w:fill="auto"/>
            <w:vAlign w:val="center"/>
          </w:tcPr>
          <w:p w14:paraId="0D9E6D57">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一、整体设计</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主机架构：整体采用嵌入式设计、非PC与服务器工作站等架构，以保障系统运行稳定、安全。且为方便设备部署，避免屏幕动态变化影响学生课堂专注力的情况，主机需为标准1U机架式设计，机身非壁挂且不存在大面积显示屏；</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2.高度集成：主机具备音频编码、视频编码、音视频处理、录制、导播、自动跟踪、存储、点播、互动等多功能功于一体，按GB/T6882规定进行，测试点距离受试样品各表面1m处，噪声≤20dB(A)；</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3.性能：主机采用ARM架构处理器同时内置GPU与NPU协处理器，CPU核心数≥8，核心主频≥2.4GHz；</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音视频协议：支持H.264、AAC、H.323、SIP、WebRTC、BFCP、H.239、RTMP、RTSP、RTP、TS等音视频协议，在使用同品牌摄像机的情况下支持时钟跟随技术，实现多机位画面的高度同步。在多机位画面组合布局、多流录制、多流直播的场景下不同画面保持绝对同步无延迟的播放效果，实现高质量的多流处理能力；</w:t>
            </w:r>
          </w:p>
          <w:p w14:paraId="6C700D5E">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5.工作功率：要求整机正常工作状态下功耗不超过50W；</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6.音视频接口：D-Video≥5，HDMI in≥2，HDMI out≥2路，音频Line in≥2，Line out≥2，数字音频接口D-Mic≥6；数字音频接口支持音频“一线通”技术，通过普通双绞线，可在采集数字音频信号的同时对数字麦克风进行供电；数字视频接口支持录播主机与配套摄像机间通过一根RJ45双绞线连接，进行供电、数字视频传输和摄像机控制。</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7.网络接口：RJ45≥1，支持100/1000M网络自适应及IPv4、IPv6双协议栈；</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8.控制接口：RJ45≥2，支持RS232串行通信协议进行外接控制；</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9.外设接口：USB≥2，可用于连接U盘等外设；</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10.系统存储≥2T，保障设备的正常运行与录制视频文件的本地存储；</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11.视频录制：兼容标准H.264视频编解码能力，要求支持1080P@30fps、720P@30fps，以及AAC音频编解码协议标准且内置音频处理功能；</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12.数字视频传输：支持对同品牌高清摄像机实现基于RJ45双绞线的视频裸数据传输技术，支持摄像机到录播主机端的视频采集和传输过程无需编解码、无画质损耗并实现≤100ms的声画同步，保障录制视频效果；</w:t>
            </w:r>
            <w:r>
              <w:rPr>
                <w:rFonts w:hint="eastAsia" w:ascii="仿宋" w:hAnsi="仿宋" w:eastAsia="仿宋" w:cs="仿宋"/>
                <w:b/>
                <w:bCs/>
                <w:color w:val="000000" w:themeColor="text1"/>
                <w:szCs w:val="21"/>
                <w:lang w:bidi="ar"/>
                <w14:textFill>
                  <w14:solidFill>
                    <w14:schemeClr w14:val="tx1"/>
                  </w14:solidFill>
                </w14:textFill>
              </w:rPr>
              <w:t>（须提供带有CMA或CNAS标志的第三方检测报告复印件佐证）</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二、功能设计</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13.系统架构：软件需采用B/S架构设计，支持通过浏览器即可进行管理配置与操作，而无需额外安装客户端或APP；</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14.AI全场景跟踪：录播内置跟踪算法且跟踪功能基于AI人工智能技术无需额外增加图像定位主机或摄像机即可实现多机位的全自动跟踪切换；</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15.画面同步：录播主机配套同品牌摄像机支持在多机位接入的情况下所有画面高度同步。在多画面布局以及多流录制、多流直播的使用场景下不同画面保持≤150ms的同步效果，满足最佳的使用体验；</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16.中英双语：支持中英双语版本切换，适合不同用户的应用需求。要求通过网络导播界面即可便捷切换，无需进行更改授权、系统升级等复杂操作；</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17.上电模式：支持通电模式选择，实现主机通电后自动进入相应模式，包含但不限于自动开机、开机且休眠、不开机等模式；</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18.版本管理：支持查看系统软件版本，提供离线文件升级、网络在线升级和定时自动升级三种升级方式，且支持导出和导入系统配置文件；</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19.安装信息：支持填写设备的安装信息，包括位置、所在学校、安装地点、联系人等；</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20.休眠唤醒：支持定时休眠唤醒功能，提供精确到秒的自定义时间设置，可以单独设置是否定时休眠或者定时唤醒；</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21.权限管理：支持对主机后台设置管理员用户与普通用户两种使用权限，普通用户无法进行相关参数与配置修改；</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22.系统状态：支持在导播界面实时查看主机当前CPU温度、磁盘空间占用情况、视频录制的参数配置和正在录制的视频时长与大小等信息；</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23.UVC/UAC功能：主机具备通过USB口直接输出音视频信号的能力，实现便捷的视频会议软件接入；</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24.智能音频处理：支持音频采样率的设置，且支持AGC自动增益、ANC噪声抑制、EQ均衡、AEC回声抑制等音频处理功能；</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25.录制码流：支持主码流和子码流的高低双码流录制，且支持自定义清晰度、帧率、码率和I帧间隔，支持动态比特率或静态比特率两种模式；</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26.存储管理：支持录像文件循环覆盖功能，开启循环覆盖功能后，录播硬盘在已存储90%的空间时，再次启动录制将删除录播内现存时间最早的录像文件以应对录制频率比较高的情况；</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27.标签设置：支持视频信号源标签设置，对摄像机实时拍摄信号、HDMI高清输入信号均可自定义名称标签，为导播控制与编辑灵活性提供便利；</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28.多场景音频：支持录制模式和互动模式的独立音频场景设置，针对无线MIC和多媒体等不同设备类型，进行场景化的音频参数设置；</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29.跟踪自定义：支持根据实际喜好，自定义AI跟踪逻辑下所切换的画面信号，且支持双分屏、画中画等布局；</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30.互动能力：内置互动模块，无需额外部署MCU类设备即可支持“1+3”的互动授课模式，实现专递课堂教学应用。同时也需支持会议互动模式，创建或加入大规模视音频实时互动；</w:t>
            </w:r>
          </w:p>
        </w:tc>
        <w:tc>
          <w:tcPr>
            <w:tcW w:w="230" w:type="pct"/>
            <w:tcBorders>
              <w:top w:val="single" w:color="auto" w:sz="8" w:space="0"/>
            </w:tcBorders>
            <w:vAlign w:val="center"/>
          </w:tcPr>
          <w:p w14:paraId="18734B69">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台</w:t>
            </w:r>
          </w:p>
        </w:tc>
        <w:tc>
          <w:tcPr>
            <w:tcW w:w="275" w:type="pct"/>
            <w:tcBorders>
              <w:top w:val="single" w:color="auto" w:sz="8" w:space="0"/>
            </w:tcBorders>
            <w:vAlign w:val="center"/>
          </w:tcPr>
          <w:p w14:paraId="4A5FCB57">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1DF9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6B6E17DC">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4891F47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智能摄录与流媒体处理软件</w:t>
            </w:r>
          </w:p>
        </w:tc>
        <w:tc>
          <w:tcPr>
            <w:tcW w:w="3737" w:type="pct"/>
            <w:tcBorders>
              <w:top w:val="single" w:color="auto" w:sz="8" w:space="0"/>
            </w:tcBorders>
            <w:shd w:val="clear" w:color="auto" w:fill="auto"/>
          </w:tcPr>
          <w:p w14:paraId="6C702A07">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1.要求软件在出厂时内嵌于录播主机中，且应具备自主知识产权；</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2.录制模式：支持电影模式和资源模式两种录制模式。电影模式下支持将多路视频信号的复合成一路画面进行录制；资源模式下支持将接入的摄像机画面和电脑画面进行独立录制；</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3.分段录制：支持30分钟分段、60分钟分段两种分段录制方式，系统可在不结束录制的条件下根据分段时长自动将视频录制为多个分段文件；</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4.录制存储：采用H.264/H.265的视频编码格式和MP4的视频封装格式，支持在断网情况下也可以进行视频录制并存储于录播主机中，也支持在联网情况下通过FTP自动上传视频文件；</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5.同步录制：支持外接存储设备（如U盘），实现在视频录制的过程中，自动同步录制多一份并存储至U盘中；</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6.录制关联：支持在录制启动时自动关联开启直播和全自动跟踪模式；</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7.视频管理：支持查看已录制的视频文件，并可按录制时间进行排序和按关键字检索查看，也支持对视频文件进行在线播放、下载、删除和FTP上传；</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8.网络导播：支持通过浏览器即可访问并使用导播功能，而无需额外安装客户端或APP；</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9.导播模式：支持全自动、半自动、手动三种导播模式，且支持在录制、直播和互动过程中任意切换导播模式；</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10.导播预览：支持对接入的所有画面进行导播预览，包括教师特写、教师全景、学生全景、学生特写、电脑画面等，电脑画面包括两路HDMI画面可切换，并支持点击预览画面即可切换为导播输出画面；</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11.视频布局：支持二分屏、三分屏、画中画等布局，也支持自定义布局方式，且支持对布局内的每个画面窗口进行拖动、叠加、缩放和指定视频源的操作，实现灵活调整；</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12.台标字幕：需支持在导播预览界面添加Logo台标与字幕，可自主上传Logo图标、设置logo位置、编辑字幕内容、选择字幕字体颜色与是否滚动显示，且后台管理设置可预设字幕作为备选，方便灵活调整与切换；</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13.片头片尾：需支持片头片尾设置，可上传JPG格式图片作为录制默认的片头片尾画面，并可自定义片头片尾显示时长，支持片头片尾显示视频信息；</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14.摄像机控制：支持对接入摄像机特写画面进行电子云台控制，包括画面上下左右移动、放大缩小变焦等操作。云台控制功能应具有鼠标快速定位功能，通过鼠标点击快速居中画面区域。也支持设置和调用摄像机预置位，支持不少于8个预置位；</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15.音量控制：支持在导播过程中进行音量控制，可调整相关输入输出的音量大小，且支持一键静音功能；</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16.直播码流：需支持主码流和子码流高低双码流，且支持自定义清晰度、帧率和码流，主码流清晰度不小于1080P；</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17.直播推流：支持不少于4路RTMP同步推流直播，并可自定义选择主码流或子码流进行推流直播；</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18.直播模式：需支持RTMP直播、TS直播、集控推流直播等不少于3种不同直播模式，以适应不同场景直播需求；</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19.互动画质：支持1080P@30fps的高清互动画质，且支持设置互动码流，并支持基于SVC技术实现在不同网络状况下的画面质量自适应；</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20.双流互动：支持在实时互动过程中，可将教学场景信号与电脑课件信号以互相独立的信号进行传输，并最终在接收端可通过两路独立HDMI接口将接收到的教学场景画面与电脑课件画面同时分别输出到两个显示设备上；</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21.发言权限控制：支持通过网络导播界面，主讲端在互动过程中对其余互动参与者的发言权限进行控制，支持单人禁言/开启以及全场禁言/开启的控制方式；</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22.呼叫应答：需支持呼叫应答设置，满足不同互动场景的需要，包括自动应答与勾选手动应答两种方式；</w:t>
            </w:r>
          </w:p>
        </w:tc>
        <w:tc>
          <w:tcPr>
            <w:tcW w:w="230" w:type="pct"/>
            <w:tcBorders>
              <w:top w:val="single" w:color="auto" w:sz="8" w:space="0"/>
            </w:tcBorders>
            <w:vAlign w:val="center"/>
          </w:tcPr>
          <w:p w14:paraId="54641AFA">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套</w:t>
            </w:r>
          </w:p>
        </w:tc>
        <w:tc>
          <w:tcPr>
            <w:tcW w:w="275" w:type="pct"/>
            <w:tcBorders>
              <w:top w:val="single" w:color="auto" w:sz="8" w:space="0"/>
            </w:tcBorders>
            <w:vAlign w:val="center"/>
          </w:tcPr>
          <w:p w14:paraId="1A5FAD2B">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5FFE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165B3282">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4DE4BE0C">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处理跟踪部分</w:t>
            </w:r>
          </w:p>
        </w:tc>
        <w:tc>
          <w:tcPr>
            <w:tcW w:w="3737" w:type="pct"/>
            <w:tcBorders>
              <w:top w:val="single" w:color="auto" w:sz="8" w:space="0"/>
            </w:tcBorders>
            <w:shd w:val="clear" w:color="auto" w:fill="FABF8F"/>
            <w:vAlign w:val="center"/>
          </w:tcPr>
          <w:p w14:paraId="02BB553C">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665850E8">
            <w:pPr>
              <w:jc w:val="center"/>
              <w:rPr>
                <w:rFonts w:hint="eastAsia" w:ascii="仿宋" w:hAnsi="仿宋" w:eastAsia="仿宋" w:cs="仿宋"/>
                <w:b/>
                <w:color w:val="000000" w:themeColor="text1"/>
                <w:szCs w:val="21"/>
                <w14:textFill>
                  <w14:solidFill>
                    <w14:schemeClr w14:val="tx1"/>
                  </w14:solidFill>
                </w14:textFill>
              </w:rPr>
            </w:pPr>
          </w:p>
          <w:p w14:paraId="693B700D"/>
        </w:tc>
        <w:tc>
          <w:tcPr>
            <w:tcW w:w="275" w:type="pct"/>
            <w:tcBorders>
              <w:top w:val="single" w:color="auto" w:sz="8" w:space="0"/>
            </w:tcBorders>
            <w:shd w:val="clear" w:color="auto" w:fill="FABF8F"/>
            <w:vAlign w:val="center"/>
          </w:tcPr>
          <w:p w14:paraId="7C8953C3">
            <w:pPr>
              <w:jc w:val="center"/>
              <w:rPr>
                <w:rFonts w:hint="eastAsia" w:ascii="仿宋" w:hAnsi="仿宋" w:eastAsia="仿宋" w:cs="仿宋"/>
                <w:b/>
                <w:color w:val="000000" w:themeColor="text1"/>
                <w:szCs w:val="21"/>
                <w14:textFill>
                  <w14:solidFill>
                    <w14:schemeClr w14:val="tx1"/>
                  </w14:solidFill>
                </w14:textFill>
              </w:rPr>
            </w:pPr>
          </w:p>
        </w:tc>
      </w:tr>
      <w:tr w14:paraId="31B3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2866F3A0">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15DD396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智能跟踪数据分析处理软件</w:t>
            </w:r>
          </w:p>
        </w:tc>
        <w:tc>
          <w:tcPr>
            <w:tcW w:w="3737" w:type="pct"/>
            <w:tcBorders>
              <w:top w:val="single" w:color="auto" w:sz="8" w:space="0"/>
            </w:tcBorders>
            <w:shd w:val="clear" w:color="auto" w:fill="auto"/>
            <w:vAlign w:val="center"/>
          </w:tcPr>
          <w:p w14:paraId="4B5C4009">
            <w:pP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1.跟踪逻辑：支持智能识别接入摄像机的使用定位，并联动摄像机选用对应的跟踪逻辑，如教师跟踪、学生跟踪等；</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2.检测区域：支持对接入摄像机的AI跟踪检测区域设置，可基于实景拍摄画面框选跟踪区域，框选后只在区域中方能触发跟踪，所见所得方便操作；</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3.跟踪切换：支持根据设定的跟踪策略形成跟踪指令，实现多路接入摄像机的全自动AI跟踪画面切换；且支持自定义跟踪切换逻辑的画面布局，包含但不限于双分屏、画中画与自定义布局等；</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4.跟踪策略：支持对接入摄像机自定义设置AI跟踪目标更新周期时间，摄像机依据配置实现相应跟踪策略；</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5.智能构图：支持设置摄像机拍摄画面的智能构图模式，包含但不限于五分像、七分像、全身像等；</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6.全场景跟拍：支持基于计算机视觉CV技术的AI人工智能跟踪算法，实现教师识别、教师移动跟拍、教师轨迹识别以及学生上台识别、板书行为识别、单人与多人起立识别等教学焦点进行自动捕捉与切换；</w:t>
            </w:r>
          </w:p>
        </w:tc>
        <w:tc>
          <w:tcPr>
            <w:tcW w:w="230" w:type="pct"/>
            <w:tcBorders>
              <w:top w:val="single" w:color="auto" w:sz="8" w:space="0"/>
            </w:tcBorders>
            <w:vAlign w:val="center"/>
          </w:tcPr>
          <w:p w14:paraId="7509E3A0">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套</w:t>
            </w:r>
          </w:p>
        </w:tc>
        <w:tc>
          <w:tcPr>
            <w:tcW w:w="275" w:type="pct"/>
            <w:tcBorders>
              <w:top w:val="single" w:color="auto" w:sz="8" w:space="0"/>
            </w:tcBorders>
            <w:vAlign w:val="center"/>
          </w:tcPr>
          <w:p w14:paraId="02DC3013">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526A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16DA5CE9">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663EABEA">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智能课堂AI行为及语音分析软件</w:t>
            </w:r>
          </w:p>
        </w:tc>
        <w:tc>
          <w:tcPr>
            <w:tcW w:w="3737" w:type="pct"/>
            <w:tcBorders>
              <w:top w:val="single" w:color="auto" w:sz="8" w:space="0"/>
            </w:tcBorders>
            <w:shd w:val="clear" w:color="auto" w:fill="auto"/>
            <w:vAlign w:val="center"/>
          </w:tcPr>
          <w:p w14:paraId="1B530A63">
            <w:pP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一.整体要求</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1.兼容对接：配套高清录播主机，实现视频数据分析；同时支持与视频资源管理平台无缝对接，可将数据通过平台进行分析结果数据展示。</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2.多维分析：支持对课堂数据进行综合多维度的分析，包括“课堂三率”、“课堂语言分析”、“教学行为分析”、“教师活动轨迹”、“课堂时间分配”、“学生课堂动作表情分析”等维度数据。</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3.实时分析：支持对师生出勤率、S-T教学行为、教师活动轨迹、学生课堂动作表情分析等维度数据进行实时统计分析。</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二.课堂教情分析要求</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1.教学行为分析：支持“教师讲授”、“指导学生”、“学生汇报”、“师生互动”、“生生互动”、“教师巡视”多种维度的教学行为识别。</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2.教师轨迹分析：支持统计整个课节时间内授课教师的授课行动轨迹，直观呈现教师授课过程中的授课位置数据。</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3.教师巡视分析：要求支持教师巡视情况统计并形成教师巡视数据，分析数据应包括教师课堂巡视次数、时长等数据。</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三.课堂学生分析要求</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1.班级出勤率统计：以班级维度进行班级出勤人数统计，包括应出席人数、实际出席人数、出勤率、迟到人数、缺席人数等。</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2.学生听课率分析：支持以课堂时间为轴线，对各个时刻学生的听课率进行分析统计，同时统计峰值和平均值数据。</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3.支持学生课堂动作分析，包括趴桌子、举手、站立、抬头等肢体语言，可对各类动作进行实时检测。</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4.支持对学生动作的实时统计分析，统计当前每种学生动作的峰值次数和占比。</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5.支持学生课堂表情分析，包括积极、平淡、消极等表情。并支持对各类表情进行实时检测，统计课堂中各类表情的学生人数。</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6.支持对整节课堂实现学生动作和表情的统计分析，统计每种学生动作和表情的峰值时刻、峰值占比和峰值人数。</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四.语音分析软件</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1.教师提问情况分析：支持基于课堂语音识别能力进行教师课堂提问行为分析，从提问次数与高频时间段两个核心维度进行数据统计，实现课堂提问情况的清晰回顾。</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2.教师语速分析：支持通过语音识别能力进行教师课堂授课语速分析，呈现数据需包括教师课堂说话词数以及平均语速。</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3.课堂语音转写：要求基于语音语义识别完成课堂音频的文字转换，实现课堂教学过程语音全纪录，要求平台上可输出整节课的文字字幕。实现字幕与视频进度关联，通过点击字幕同步播放对应进度的视频。</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4.课堂关键词分析：支持通过AI语音识别能力，抓取统计提前设置好的课堂知识点关键词，统计各关键词出现的次数频率，并标注出现的时间点和显示所在的语句内容。</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5.课堂高频词分析：支持通过AI语音识别能力，抓取授课过程中出现的高频词汇，并统计出现频次，判断课堂教学重点；</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6.课堂语气词分析：支持通过进行课堂语音识别，判断老师教学过程中出现的常规语气词出现频次，如“呐”，“嘛”，等语气词，辅助老师调整教学过程中的不良习惯；</w:t>
            </w:r>
          </w:p>
        </w:tc>
        <w:tc>
          <w:tcPr>
            <w:tcW w:w="230" w:type="pct"/>
            <w:tcBorders>
              <w:top w:val="single" w:color="auto" w:sz="8" w:space="0"/>
            </w:tcBorders>
            <w:vAlign w:val="center"/>
          </w:tcPr>
          <w:p w14:paraId="213E92E4">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套</w:t>
            </w:r>
          </w:p>
        </w:tc>
        <w:tc>
          <w:tcPr>
            <w:tcW w:w="275" w:type="pct"/>
            <w:tcBorders>
              <w:top w:val="single" w:color="auto" w:sz="8" w:space="0"/>
            </w:tcBorders>
            <w:vAlign w:val="center"/>
          </w:tcPr>
          <w:p w14:paraId="580BAB78">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13C0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61AE76E2">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59CC5A3F">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视频采集部分</w:t>
            </w:r>
          </w:p>
        </w:tc>
        <w:tc>
          <w:tcPr>
            <w:tcW w:w="3737" w:type="pct"/>
            <w:tcBorders>
              <w:top w:val="single" w:color="auto" w:sz="8" w:space="0"/>
            </w:tcBorders>
            <w:shd w:val="clear" w:color="auto" w:fill="FABF8F"/>
            <w:vAlign w:val="center"/>
          </w:tcPr>
          <w:p w14:paraId="03142930">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20090384">
            <w:pPr>
              <w:jc w:val="center"/>
              <w:rPr>
                <w:rFonts w:hint="eastAsia" w:ascii="仿宋" w:hAnsi="仿宋" w:eastAsia="仿宋" w:cs="仿宋"/>
                <w:b/>
                <w:color w:val="000000" w:themeColor="text1"/>
                <w:szCs w:val="21"/>
                <w14:textFill>
                  <w14:solidFill>
                    <w14:schemeClr w14:val="tx1"/>
                  </w14:solidFill>
                </w14:textFill>
              </w:rPr>
            </w:pPr>
          </w:p>
          <w:p w14:paraId="4AFA46ED"/>
        </w:tc>
        <w:tc>
          <w:tcPr>
            <w:tcW w:w="275" w:type="pct"/>
            <w:tcBorders>
              <w:top w:val="single" w:color="auto" w:sz="8" w:space="0"/>
            </w:tcBorders>
            <w:shd w:val="clear" w:color="auto" w:fill="FABF8F"/>
            <w:vAlign w:val="center"/>
          </w:tcPr>
          <w:p w14:paraId="13FA6714">
            <w:pPr>
              <w:jc w:val="center"/>
              <w:rPr>
                <w:rFonts w:hint="eastAsia" w:ascii="仿宋" w:hAnsi="仿宋" w:eastAsia="仿宋" w:cs="仿宋"/>
                <w:b/>
                <w:color w:val="000000" w:themeColor="text1"/>
                <w:szCs w:val="21"/>
                <w14:textFill>
                  <w14:solidFill>
                    <w14:schemeClr w14:val="tx1"/>
                  </w14:solidFill>
                </w14:textFill>
              </w:rPr>
            </w:pPr>
          </w:p>
        </w:tc>
      </w:tr>
      <w:tr w14:paraId="5D49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763EDC0B">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007EDF6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高清摄像机</w:t>
            </w:r>
          </w:p>
        </w:tc>
        <w:tc>
          <w:tcPr>
            <w:tcW w:w="3737" w:type="pct"/>
            <w:tcBorders>
              <w:top w:val="single" w:color="auto" w:sz="8" w:space="0"/>
            </w:tcBorders>
            <w:shd w:val="clear" w:color="auto" w:fill="auto"/>
            <w:vAlign w:val="center"/>
          </w:tcPr>
          <w:p w14:paraId="3B96CA9C">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1.传感器：要求采用CMOS类型图像传感器，尺寸≥1/2.5英寸；</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2.像素：有效像素≥800万；</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3.变焦：要求支持自动和手动变焦，光学变焦倍数≥22倍；</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4.云台转动：具备机械云台可进行转动跟踪。水平转动速度范围不少于1.0°~ 94.2°/s，垂直转动速度范围不少于1.0°~ 74.8°/s；</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5.视频编码：支持H.265、H.264高清视频编码协议；</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6.视频输出：具备数字视频输出口（RJ45）≥1，HDMI视频输出口≥1；</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7.通讯接口：具备RS232/RS422≥1；</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8.网络接入：RJ45网络接口≥1，并支持100M/1000M自适应以太网接入与RTSP协议网络视频输出；</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9.音频接口：Line in输入口≥1；</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10.USB接口：具备USB Type-A≥1；</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11.协议支持：支持VISCA/ONVIF协议满足多种场景控制要求；</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12.背光补偿：具备背光补偿功能；</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13.数字降噪：支持2D/3D数字降噪，信噪比≥55dB；</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14.一线通：与搭配的录播主机实现基于RJ45双绞线的一线通连接，完成摄像机供电、控制以及视频信号传输；</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15.基于数据链路层的数字视频传输技术，无镜头呼吸效应且声画同步度在 100ms 以内；</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16.基于 AI 人物识别的自动跟踪技术，仅摄像机自身可实现人物移动的自动画面跟踪拍摄，包括水平运动、俯仰运动、变焦、聚焦四维实时跟踪；</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17.支持根据AI智能算法，同一摄像机可根据部署使用场景智能应用为教师、学生跟踪模式，无需手动设置；</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18.AI人体与面部特征交叉识别，能够自动识别并锁定跟踪对象，在多人同时进入拍摄画面的情况下，不跟丢不误跟。跟踪对象在画面丢失后再进入拍摄区域可以继续识别锁定进行跟踪；</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19.支持在拍摄画面有显示设备或其他动态视频播放的情况下，自动启用AI抗干扰能力，保障画面始终锁定被跟踪对象，且跟踪效果不受影响；</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20.机电一体化处理，保障AI跟踪拍摄过程中云台能实时配合调整Pan（水平旋转）/Tilt（垂直）/Zoom（焦距），跟拍过程中保证画面稳定不虚焦。</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21.电源支持：支持录播主机供电和DC12V电源适配器等供电方式；</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22.要求摄像机与录播主机为同一品牌。</w:t>
            </w:r>
          </w:p>
        </w:tc>
        <w:tc>
          <w:tcPr>
            <w:tcW w:w="230" w:type="pct"/>
            <w:tcBorders>
              <w:top w:val="single" w:color="auto" w:sz="8" w:space="0"/>
            </w:tcBorders>
            <w:vAlign w:val="center"/>
          </w:tcPr>
          <w:p w14:paraId="30EEFCDF">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台</w:t>
            </w:r>
          </w:p>
        </w:tc>
        <w:tc>
          <w:tcPr>
            <w:tcW w:w="275" w:type="pct"/>
            <w:tcBorders>
              <w:top w:val="single" w:color="auto" w:sz="8" w:space="0"/>
            </w:tcBorders>
            <w:vAlign w:val="center"/>
          </w:tcPr>
          <w:p w14:paraId="3F8FD228">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r>
      <w:tr w14:paraId="5623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4F00DE6C">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4C2AE82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智能跟踪拍摄软件</w:t>
            </w:r>
          </w:p>
        </w:tc>
        <w:tc>
          <w:tcPr>
            <w:tcW w:w="3737" w:type="pct"/>
            <w:tcBorders>
              <w:top w:val="single" w:color="auto" w:sz="8" w:space="0"/>
            </w:tcBorders>
            <w:shd w:val="clear" w:color="auto" w:fill="auto"/>
          </w:tcPr>
          <w:p w14:paraId="095C8873">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1.摄像机管理软件采用B/S架构，支持通用浏览器直接访问进行管理。</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2.支持曝光模式设置功能，包括自动、手动。</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3.支持抗闪烁频率、动态范围、光圈、快门参数设置。</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4.支持自动白平衡设置功能，红、蓝增益可调。</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5.支持噪声抑制设置功能，支持2D、3D降噪。</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6.支持摄像机图像质量调节功能，包括亮度、对比度、色调、饱和度。</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7.支持摄像机控制功能，包括云台控制、预置位设置与调用、焦距调节等。</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8.支持教师和学生的AI自动识别切换，根据部署位置、模式自主适配教师或学生的跟踪逻辑。</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9.支持AI人体特征识别，能够自动识别并锁定跟踪人，人物丢失后再进入拍摄区域可以继续识别锁定进行跟踪。</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9.采用教师角色识别逻辑，可基于站立姿态、面/背向状态等多维判定，快速识别教师，避免学生站立影响。</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10.支持划分自动跟踪区域，当锁定跟踪人物走出自动跟踪区域时即停止跟踪，直到重新回到区域出现在画面中为止。</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11.支持设置跟踪锁定解除时间，被锁定教师人员脱离画面跟踪区域后，在跟踪锁定解除时间到达之后自动解除人员锁定，回归默认状态，等待下一位人员进入画面中开始重新锁定跟踪。</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12.支持五分像、七分像、全身像等多种教师图像跟踪画面模式，根据实际需要设置选用教师跟踪画面的大小。</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13.支持学生智能跟踪，根据学生站立/做下动作状态，进行学生特写跟踪拍摄，并通知录播主机完成画面切换。</w:t>
            </w:r>
          </w:p>
        </w:tc>
        <w:tc>
          <w:tcPr>
            <w:tcW w:w="230" w:type="pct"/>
            <w:tcBorders>
              <w:top w:val="single" w:color="auto" w:sz="8" w:space="0"/>
            </w:tcBorders>
            <w:vAlign w:val="center"/>
          </w:tcPr>
          <w:p w14:paraId="13E932A0">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套</w:t>
            </w:r>
          </w:p>
        </w:tc>
        <w:tc>
          <w:tcPr>
            <w:tcW w:w="275" w:type="pct"/>
            <w:tcBorders>
              <w:top w:val="single" w:color="auto" w:sz="8" w:space="0"/>
            </w:tcBorders>
            <w:vAlign w:val="center"/>
          </w:tcPr>
          <w:p w14:paraId="4028C75B">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r>
      <w:tr w14:paraId="6150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382DE5F0">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14210854">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音频采集部分</w:t>
            </w:r>
          </w:p>
        </w:tc>
        <w:tc>
          <w:tcPr>
            <w:tcW w:w="3737" w:type="pct"/>
            <w:tcBorders>
              <w:top w:val="single" w:color="auto" w:sz="8" w:space="0"/>
            </w:tcBorders>
            <w:shd w:val="clear" w:color="auto" w:fill="FABF8F"/>
            <w:vAlign w:val="center"/>
          </w:tcPr>
          <w:p w14:paraId="0B6FA819">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629B65FC">
            <w:pPr>
              <w:jc w:val="center"/>
              <w:rPr>
                <w:rFonts w:hint="eastAsia" w:ascii="仿宋" w:hAnsi="仿宋" w:eastAsia="仿宋" w:cs="仿宋"/>
                <w:b/>
                <w:color w:val="000000" w:themeColor="text1"/>
                <w:szCs w:val="21"/>
                <w14:textFill>
                  <w14:solidFill>
                    <w14:schemeClr w14:val="tx1"/>
                  </w14:solidFill>
                </w14:textFill>
              </w:rPr>
            </w:pPr>
          </w:p>
          <w:p w14:paraId="40832F9F"/>
        </w:tc>
        <w:tc>
          <w:tcPr>
            <w:tcW w:w="275" w:type="pct"/>
            <w:tcBorders>
              <w:top w:val="single" w:color="auto" w:sz="8" w:space="0"/>
            </w:tcBorders>
            <w:shd w:val="clear" w:color="auto" w:fill="FABF8F"/>
            <w:vAlign w:val="center"/>
          </w:tcPr>
          <w:p w14:paraId="531CAA9E">
            <w:pPr>
              <w:jc w:val="center"/>
              <w:rPr>
                <w:rFonts w:hint="eastAsia" w:ascii="仿宋" w:hAnsi="仿宋" w:eastAsia="仿宋" w:cs="仿宋"/>
                <w:b/>
                <w:color w:val="000000" w:themeColor="text1"/>
                <w:szCs w:val="21"/>
                <w14:textFill>
                  <w14:solidFill>
                    <w14:schemeClr w14:val="tx1"/>
                  </w14:solidFill>
                </w14:textFill>
              </w:rPr>
            </w:pPr>
          </w:p>
        </w:tc>
      </w:tr>
      <w:tr w14:paraId="3BE1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56D208EE">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4B53341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数字音频处理器</w:t>
            </w:r>
          </w:p>
        </w:tc>
        <w:tc>
          <w:tcPr>
            <w:tcW w:w="3737" w:type="pct"/>
            <w:tcBorders>
              <w:top w:val="single" w:color="auto" w:sz="8" w:space="0"/>
            </w:tcBorders>
            <w:shd w:val="clear" w:color="auto" w:fill="auto"/>
          </w:tcPr>
          <w:p w14:paraId="43073652">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1.采用48K采样率，高速DSP处理芯片。</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2.内置功放功能，支持直接对接无源扬声器进行扩音，无需额外另配功放设备。</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3.支持≥4路模拟输入、≥1路立体声输入、≥2路无线输入；支持≥4路模拟输出、≥2路功放输出的音频信号处理。</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4.频率响应：20-20KHz。</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5.THD+N：≤0.003 。</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6.动态范围：≥100dB。</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7.幻象供电：支持每路独立48V幻象供电。</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8.音频处理：支持DSP音频处理功能，包含反馈消除、回声消除、噪声消除等。</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9.支持全功能矩阵混音功能。</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10.支持场景预设功能，可通过场景预设切换相应配置。</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11.USB背景音乐播放与录制功能，支持通过USB接口自动读取并选择播放U盘中的MP3、WAV等格式的音频文件。</w:t>
            </w:r>
          </w:p>
        </w:tc>
        <w:tc>
          <w:tcPr>
            <w:tcW w:w="230" w:type="pct"/>
            <w:tcBorders>
              <w:top w:val="single" w:color="auto" w:sz="8" w:space="0"/>
            </w:tcBorders>
            <w:vAlign w:val="center"/>
          </w:tcPr>
          <w:p w14:paraId="23B07F54">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台</w:t>
            </w:r>
          </w:p>
        </w:tc>
        <w:tc>
          <w:tcPr>
            <w:tcW w:w="275" w:type="pct"/>
            <w:tcBorders>
              <w:top w:val="single" w:color="auto" w:sz="8" w:space="0"/>
            </w:tcBorders>
            <w:vAlign w:val="center"/>
          </w:tcPr>
          <w:p w14:paraId="0FE914FA">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6F0C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5FD59E92">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26D3765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音频处理与功放管理软件</w:t>
            </w:r>
          </w:p>
        </w:tc>
        <w:tc>
          <w:tcPr>
            <w:tcW w:w="3737" w:type="pct"/>
            <w:tcBorders>
              <w:top w:val="single" w:color="auto" w:sz="8" w:space="0"/>
            </w:tcBorders>
            <w:shd w:val="clear" w:color="auto" w:fill="auto"/>
          </w:tcPr>
          <w:p w14:paraId="586E43F7">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45" name="Text Box 1780"/>
                  <wp:cNvGraphicFramePr/>
                  <a:graphic xmlns:a="http://schemas.openxmlformats.org/drawingml/2006/main">
                    <a:graphicData uri="http://schemas.openxmlformats.org/drawingml/2006/picture">
                      <pic:pic xmlns:pic="http://schemas.openxmlformats.org/drawingml/2006/picture">
                        <pic:nvPicPr>
                          <pic:cNvPr id="145" name="Text Box 178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6131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46" name="图片 146"/>
                  <wp:cNvGraphicFramePr/>
                  <a:graphic xmlns:a="http://schemas.openxmlformats.org/drawingml/2006/main">
                    <a:graphicData uri="http://schemas.openxmlformats.org/drawingml/2006/picture">
                      <pic:pic xmlns:pic="http://schemas.openxmlformats.org/drawingml/2006/picture">
                        <pic:nvPicPr>
                          <pic:cNvPr id="146" name="图片 14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6233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47" name="图片 4"/>
                  <wp:cNvGraphicFramePr/>
                  <a:graphic xmlns:a="http://schemas.openxmlformats.org/drawingml/2006/main">
                    <a:graphicData uri="http://schemas.openxmlformats.org/drawingml/2006/picture">
                      <pic:pic xmlns:pic="http://schemas.openxmlformats.org/drawingml/2006/picture">
                        <pic:nvPicPr>
                          <pic:cNvPr id="147" name="图片 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6336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48" name="图片 148"/>
                  <wp:cNvGraphicFramePr/>
                  <a:graphic xmlns:a="http://schemas.openxmlformats.org/drawingml/2006/main">
                    <a:graphicData uri="http://schemas.openxmlformats.org/drawingml/2006/picture">
                      <pic:pic xmlns:pic="http://schemas.openxmlformats.org/drawingml/2006/picture">
                        <pic:nvPicPr>
                          <pic:cNvPr id="148" name="图片 14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6438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49" name="图片 149"/>
                  <wp:cNvGraphicFramePr/>
                  <a:graphic xmlns:a="http://schemas.openxmlformats.org/drawingml/2006/main">
                    <a:graphicData uri="http://schemas.openxmlformats.org/drawingml/2006/picture">
                      <pic:pic xmlns:pic="http://schemas.openxmlformats.org/drawingml/2006/picture">
                        <pic:nvPicPr>
                          <pic:cNvPr id="149" name="图片 14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6540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50" name="图片 150"/>
                  <wp:cNvGraphicFramePr/>
                  <a:graphic xmlns:a="http://schemas.openxmlformats.org/drawingml/2006/main">
                    <a:graphicData uri="http://schemas.openxmlformats.org/drawingml/2006/picture">
                      <pic:pic xmlns:pic="http://schemas.openxmlformats.org/drawingml/2006/picture">
                        <pic:nvPicPr>
                          <pic:cNvPr id="150" name="图片 15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6643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51" name="图片 151"/>
                  <wp:cNvGraphicFramePr/>
                  <a:graphic xmlns:a="http://schemas.openxmlformats.org/drawingml/2006/main">
                    <a:graphicData uri="http://schemas.openxmlformats.org/drawingml/2006/picture">
                      <pic:pic xmlns:pic="http://schemas.openxmlformats.org/drawingml/2006/picture">
                        <pic:nvPicPr>
                          <pic:cNvPr id="151" name="图片 15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6745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52" name="图片 9"/>
                  <wp:cNvGraphicFramePr/>
                  <a:graphic xmlns:a="http://schemas.openxmlformats.org/drawingml/2006/main">
                    <a:graphicData uri="http://schemas.openxmlformats.org/drawingml/2006/picture">
                      <pic:pic xmlns:pic="http://schemas.openxmlformats.org/drawingml/2006/picture">
                        <pic:nvPicPr>
                          <pic:cNvPr id="152" name="图片 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6848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53" name="图片 10"/>
                  <wp:cNvGraphicFramePr/>
                  <a:graphic xmlns:a="http://schemas.openxmlformats.org/drawingml/2006/main">
                    <a:graphicData uri="http://schemas.openxmlformats.org/drawingml/2006/picture">
                      <pic:pic xmlns:pic="http://schemas.openxmlformats.org/drawingml/2006/picture">
                        <pic:nvPicPr>
                          <pic:cNvPr id="153" name="图片 1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6950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54" name="图片 11"/>
                  <wp:cNvGraphicFramePr/>
                  <a:graphic xmlns:a="http://schemas.openxmlformats.org/drawingml/2006/main">
                    <a:graphicData uri="http://schemas.openxmlformats.org/drawingml/2006/picture">
                      <pic:pic xmlns:pic="http://schemas.openxmlformats.org/drawingml/2006/picture">
                        <pic:nvPicPr>
                          <pic:cNvPr id="154" name="图片 1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7052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55" name="图片 12"/>
                  <wp:cNvGraphicFramePr/>
                  <a:graphic xmlns:a="http://schemas.openxmlformats.org/drawingml/2006/main">
                    <a:graphicData uri="http://schemas.openxmlformats.org/drawingml/2006/picture">
                      <pic:pic xmlns:pic="http://schemas.openxmlformats.org/drawingml/2006/picture">
                        <pic:nvPicPr>
                          <pic:cNvPr id="155" name="图片 1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7155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56" name="图片 13"/>
                  <wp:cNvGraphicFramePr/>
                  <a:graphic xmlns:a="http://schemas.openxmlformats.org/drawingml/2006/main">
                    <a:graphicData uri="http://schemas.openxmlformats.org/drawingml/2006/picture">
                      <pic:pic xmlns:pic="http://schemas.openxmlformats.org/drawingml/2006/picture">
                        <pic:nvPicPr>
                          <pic:cNvPr id="156" name="图片 1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7257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57" name="图片 14"/>
                  <wp:cNvGraphicFramePr/>
                  <a:graphic xmlns:a="http://schemas.openxmlformats.org/drawingml/2006/main">
                    <a:graphicData uri="http://schemas.openxmlformats.org/drawingml/2006/picture">
                      <pic:pic xmlns:pic="http://schemas.openxmlformats.org/drawingml/2006/picture">
                        <pic:nvPicPr>
                          <pic:cNvPr id="157" name="图片 1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7360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58" name="图片 15"/>
                  <wp:cNvGraphicFramePr/>
                  <a:graphic xmlns:a="http://schemas.openxmlformats.org/drawingml/2006/main">
                    <a:graphicData uri="http://schemas.openxmlformats.org/drawingml/2006/picture">
                      <pic:pic xmlns:pic="http://schemas.openxmlformats.org/drawingml/2006/picture">
                        <pic:nvPicPr>
                          <pic:cNvPr id="158" name="图片 1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7462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59" name="图片 16"/>
                  <wp:cNvGraphicFramePr/>
                  <a:graphic xmlns:a="http://schemas.openxmlformats.org/drawingml/2006/main">
                    <a:graphicData uri="http://schemas.openxmlformats.org/drawingml/2006/picture">
                      <pic:pic xmlns:pic="http://schemas.openxmlformats.org/drawingml/2006/picture">
                        <pic:nvPicPr>
                          <pic:cNvPr id="159" name="图片 1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7564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60" name="图片 17"/>
                  <wp:cNvGraphicFramePr/>
                  <a:graphic xmlns:a="http://schemas.openxmlformats.org/drawingml/2006/main">
                    <a:graphicData uri="http://schemas.openxmlformats.org/drawingml/2006/picture">
                      <pic:pic xmlns:pic="http://schemas.openxmlformats.org/drawingml/2006/picture">
                        <pic:nvPicPr>
                          <pic:cNvPr id="160" name="图片 1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7667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61" name="图片 18"/>
                  <wp:cNvGraphicFramePr/>
                  <a:graphic xmlns:a="http://schemas.openxmlformats.org/drawingml/2006/main">
                    <a:graphicData uri="http://schemas.openxmlformats.org/drawingml/2006/picture">
                      <pic:pic xmlns:pic="http://schemas.openxmlformats.org/drawingml/2006/picture">
                        <pic:nvPicPr>
                          <pic:cNvPr id="161" name="图片 1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7769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62" name="图片 19"/>
                  <wp:cNvGraphicFramePr/>
                  <a:graphic xmlns:a="http://schemas.openxmlformats.org/drawingml/2006/main">
                    <a:graphicData uri="http://schemas.openxmlformats.org/drawingml/2006/picture">
                      <pic:pic xmlns:pic="http://schemas.openxmlformats.org/drawingml/2006/picture">
                        <pic:nvPicPr>
                          <pic:cNvPr id="162" name="图片 1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7872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63" name="图片 20"/>
                  <wp:cNvGraphicFramePr/>
                  <a:graphic xmlns:a="http://schemas.openxmlformats.org/drawingml/2006/main">
                    <a:graphicData uri="http://schemas.openxmlformats.org/drawingml/2006/picture">
                      <pic:pic xmlns:pic="http://schemas.openxmlformats.org/drawingml/2006/picture">
                        <pic:nvPicPr>
                          <pic:cNvPr id="163" name="图片 2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7974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64" name="图片 21"/>
                  <wp:cNvGraphicFramePr/>
                  <a:graphic xmlns:a="http://schemas.openxmlformats.org/drawingml/2006/main">
                    <a:graphicData uri="http://schemas.openxmlformats.org/drawingml/2006/picture">
                      <pic:pic xmlns:pic="http://schemas.openxmlformats.org/drawingml/2006/picture">
                        <pic:nvPicPr>
                          <pic:cNvPr id="164" name="图片 2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8076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65" name="图片 22"/>
                  <wp:cNvGraphicFramePr/>
                  <a:graphic xmlns:a="http://schemas.openxmlformats.org/drawingml/2006/main">
                    <a:graphicData uri="http://schemas.openxmlformats.org/drawingml/2006/picture">
                      <pic:pic xmlns:pic="http://schemas.openxmlformats.org/drawingml/2006/picture">
                        <pic:nvPicPr>
                          <pic:cNvPr id="165" name="图片 2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8179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66" name="图片 23"/>
                  <wp:cNvGraphicFramePr/>
                  <a:graphic xmlns:a="http://schemas.openxmlformats.org/drawingml/2006/main">
                    <a:graphicData uri="http://schemas.openxmlformats.org/drawingml/2006/picture">
                      <pic:pic xmlns:pic="http://schemas.openxmlformats.org/drawingml/2006/picture">
                        <pic:nvPicPr>
                          <pic:cNvPr id="166" name="图片 2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8281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67" name="图片 24"/>
                  <wp:cNvGraphicFramePr/>
                  <a:graphic xmlns:a="http://schemas.openxmlformats.org/drawingml/2006/main">
                    <a:graphicData uri="http://schemas.openxmlformats.org/drawingml/2006/picture">
                      <pic:pic xmlns:pic="http://schemas.openxmlformats.org/drawingml/2006/picture">
                        <pic:nvPicPr>
                          <pic:cNvPr id="167" name="图片 2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8384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68" name="图片 25"/>
                  <wp:cNvGraphicFramePr/>
                  <a:graphic xmlns:a="http://schemas.openxmlformats.org/drawingml/2006/main">
                    <a:graphicData uri="http://schemas.openxmlformats.org/drawingml/2006/picture">
                      <pic:pic xmlns:pic="http://schemas.openxmlformats.org/drawingml/2006/picture">
                        <pic:nvPicPr>
                          <pic:cNvPr id="168" name="图片 2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8486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69" name="图片 26"/>
                  <wp:cNvGraphicFramePr/>
                  <a:graphic xmlns:a="http://schemas.openxmlformats.org/drawingml/2006/main">
                    <a:graphicData uri="http://schemas.openxmlformats.org/drawingml/2006/picture">
                      <pic:pic xmlns:pic="http://schemas.openxmlformats.org/drawingml/2006/picture">
                        <pic:nvPicPr>
                          <pic:cNvPr id="169" name="图片 2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8588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70" name="图片 27"/>
                  <wp:cNvGraphicFramePr/>
                  <a:graphic xmlns:a="http://schemas.openxmlformats.org/drawingml/2006/main">
                    <a:graphicData uri="http://schemas.openxmlformats.org/drawingml/2006/picture">
                      <pic:pic xmlns:pic="http://schemas.openxmlformats.org/drawingml/2006/picture">
                        <pic:nvPicPr>
                          <pic:cNvPr id="170" name="图片 2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8691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71" name="图片 28"/>
                  <wp:cNvGraphicFramePr/>
                  <a:graphic xmlns:a="http://schemas.openxmlformats.org/drawingml/2006/main">
                    <a:graphicData uri="http://schemas.openxmlformats.org/drawingml/2006/picture">
                      <pic:pic xmlns:pic="http://schemas.openxmlformats.org/drawingml/2006/picture">
                        <pic:nvPicPr>
                          <pic:cNvPr id="171" name="图片 2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8793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72" name="图片 29"/>
                  <wp:cNvGraphicFramePr/>
                  <a:graphic xmlns:a="http://schemas.openxmlformats.org/drawingml/2006/main">
                    <a:graphicData uri="http://schemas.openxmlformats.org/drawingml/2006/picture">
                      <pic:pic xmlns:pic="http://schemas.openxmlformats.org/drawingml/2006/picture">
                        <pic:nvPicPr>
                          <pic:cNvPr id="172" name="图片 2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8896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73" name="图片 30"/>
                  <wp:cNvGraphicFramePr/>
                  <a:graphic xmlns:a="http://schemas.openxmlformats.org/drawingml/2006/main">
                    <a:graphicData uri="http://schemas.openxmlformats.org/drawingml/2006/picture">
                      <pic:pic xmlns:pic="http://schemas.openxmlformats.org/drawingml/2006/picture">
                        <pic:nvPicPr>
                          <pic:cNvPr id="173" name="图片 3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8998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74" name="图片 31"/>
                  <wp:cNvGraphicFramePr/>
                  <a:graphic xmlns:a="http://schemas.openxmlformats.org/drawingml/2006/main">
                    <a:graphicData uri="http://schemas.openxmlformats.org/drawingml/2006/picture">
                      <pic:pic xmlns:pic="http://schemas.openxmlformats.org/drawingml/2006/picture">
                        <pic:nvPicPr>
                          <pic:cNvPr id="174" name="图片 3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9100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75" name="图片 32"/>
                  <wp:cNvGraphicFramePr/>
                  <a:graphic xmlns:a="http://schemas.openxmlformats.org/drawingml/2006/main">
                    <a:graphicData uri="http://schemas.openxmlformats.org/drawingml/2006/picture">
                      <pic:pic xmlns:pic="http://schemas.openxmlformats.org/drawingml/2006/picture">
                        <pic:nvPicPr>
                          <pic:cNvPr id="175" name="图片 3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9203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76" name="图片 33"/>
                  <wp:cNvGraphicFramePr/>
                  <a:graphic xmlns:a="http://schemas.openxmlformats.org/drawingml/2006/main">
                    <a:graphicData uri="http://schemas.openxmlformats.org/drawingml/2006/picture">
                      <pic:pic xmlns:pic="http://schemas.openxmlformats.org/drawingml/2006/picture">
                        <pic:nvPicPr>
                          <pic:cNvPr id="176" name="图片 3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9305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77" name="图片 34"/>
                  <wp:cNvGraphicFramePr/>
                  <a:graphic xmlns:a="http://schemas.openxmlformats.org/drawingml/2006/main">
                    <a:graphicData uri="http://schemas.openxmlformats.org/drawingml/2006/picture">
                      <pic:pic xmlns:pic="http://schemas.openxmlformats.org/drawingml/2006/picture">
                        <pic:nvPicPr>
                          <pic:cNvPr id="177" name="图片 3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9408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78" name="图片 35"/>
                  <wp:cNvGraphicFramePr/>
                  <a:graphic xmlns:a="http://schemas.openxmlformats.org/drawingml/2006/main">
                    <a:graphicData uri="http://schemas.openxmlformats.org/drawingml/2006/picture">
                      <pic:pic xmlns:pic="http://schemas.openxmlformats.org/drawingml/2006/picture">
                        <pic:nvPicPr>
                          <pic:cNvPr id="178" name="图片 3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9510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79" name="图片 36"/>
                  <wp:cNvGraphicFramePr/>
                  <a:graphic xmlns:a="http://schemas.openxmlformats.org/drawingml/2006/main">
                    <a:graphicData uri="http://schemas.openxmlformats.org/drawingml/2006/picture">
                      <pic:pic xmlns:pic="http://schemas.openxmlformats.org/drawingml/2006/picture">
                        <pic:nvPicPr>
                          <pic:cNvPr id="179" name="图片 3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9612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80" name="图片 37"/>
                  <wp:cNvGraphicFramePr/>
                  <a:graphic xmlns:a="http://schemas.openxmlformats.org/drawingml/2006/main">
                    <a:graphicData uri="http://schemas.openxmlformats.org/drawingml/2006/picture">
                      <pic:pic xmlns:pic="http://schemas.openxmlformats.org/drawingml/2006/picture">
                        <pic:nvPicPr>
                          <pic:cNvPr id="180" name="图片 3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9715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81" name="图片 181"/>
                  <wp:cNvGraphicFramePr/>
                  <a:graphic xmlns:a="http://schemas.openxmlformats.org/drawingml/2006/main">
                    <a:graphicData uri="http://schemas.openxmlformats.org/drawingml/2006/picture">
                      <pic:pic xmlns:pic="http://schemas.openxmlformats.org/drawingml/2006/picture">
                        <pic:nvPicPr>
                          <pic:cNvPr id="181" name="图片 18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9817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82" name="图片 182"/>
                  <wp:cNvGraphicFramePr/>
                  <a:graphic xmlns:a="http://schemas.openxmlformats.org/drawingml/2006/main">
                    <a:graphicData uri="http://schemas.openxmlformats.org/drawingml/2006/picture">
                      <pic:pic xmlns:pic="http://schemas.openxmlformats.org/drawingml/2006/picture">
                        <pic:nvPicPr>
                          <pic:cNvPr id="182" name="图片 18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9920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83" name="图片 40"/>
                  <wp:cNvGraphicFramePr/>
                  <a:graphic xmlns:a="http://schemas.openxmlformats.org/drawingml/2006/main">
                    <a:graphicData uri="http://schemas.openxmlformats.org/drawingml/2006/picture">
                      <pic:pic xmlns:pic="http://schemas.openxmlformats.org/drawingml/2006/picture">
                        <pic:nvPicPr>
                          <pic:cNvPr id="183" name="图片 4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0022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84" name="图片 41"/>
                  <wp:cNvGraphicFramePr/>
                  <a:graphic xmlns:a="http://schemas.openxmlformats.org/drawingml/2006/main">
                    <a:graphicData uri="http://schemas.openxmlformats.org/drawingml/2006/picture">
                      <pic:pic xmlns:pic="http://schemas.openxmlformats.org/drawingml/2006/picture">
                        <pic:nvPicPr>
                          <pic:cNvPr id="184" name="图片 4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0124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85" name="图片 42"/>
                  <wp:cNvGraphicFramePr/>
                  <a:graphic xmlns:a="http://schemas.openxmlformats.org/drawingml/2006/main">
                    <a:graphicData uri="http://schemas.openxmlformats.org/drawingml/2006/picture">
                      <pic:pic xmlns:pic="http://schemas.openxmlformats.org/drawingml/2006/picture">
                        <pic:nvPicPr>
                          <pic:cNvPr id="185" name="图片 4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0227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86" name="图片 43"/>
                  <wp:cNvGraphicFramePr/>
                  <a:graphic xmlns:a="http://schemas.openxmlformats.org/drawingml/2006/main">
                    <a:graphicData uri="http://schemas.openxmlformats.org/drawingml/2006/picture">
                      <pic:pic xmlns:pic="http://schemas.openxmlformats.org/drawingml/2006/picture">
                        <pic:nvPicPr>
                          <pic:cNvPr id="186" name="图片 4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0329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87" name="图片 44"/>
                  <wp:cNvGraphicFramePr/>
                  <a:graphic xmlns:a="http://schemas.openxmlformats.org/drawingml/2006/main">
                    <a:graphicData uri="http://schemas.openxmlformats.org/drawingml/2006/picture">
                      <pic:pic xmlns:pic="http://schemas.openxmlformats.org/drawingml/2006/picture">
                        <pic:nvPicPr>
                          <pic:cNvPr id="187" name="图片 4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0432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88" name="图片 45"/>
                  <wp:cNvGraphicFramePr/>
                  <a:graphic xmlns:a="http://schemas.openxmlformats.org/drawingml/2006/main">
                    <a:graphicData uri="http://schemas.openxmlformats.org/drawingml/2006/picture">
                      <pic:pic xmlns:pic="http://schemas.openxmlformats.org/drawingml/2006/picture">
                        <pic:nvPicPr>
                          <pic:cNvPr id="188" name="图片 4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0534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89" name="图片 46"/>
                  <wp:cNvGraphicFramePr/>
                  <a:graphic xmlns:a="http://schemas.openxmlformats.org/drawingml/2006/main">
                    <a:graphicData uri="http://schemas.openxmlformats.org/drawingml/2006/picture">
                      <pic:pic xmlns:pic="http://schemas.openxmlformats.org/drawingml/2006/picture">
                        <pic:nvPicPr>
                          <pic:cNvPr id="189" name="图片 4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0636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90" name="图片 47"/>
                  <wp:cNvGraphicFramePr/>
                  <a:graphic xmlns:a="http://schemas.openxmlformats.org/drawingml/2006/main">
                    <a:graphicData uri="http://schemas.openxmlformats.org/drawingml/2006/picture">
                      <pic:pic xmlns:pic="http://schemas.openxmlformats.org/drawingml/2006/picture">
                        <pic:nvPicPr>
                          <pic:cNvPr id="190" name="图片 4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0739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91" name="图片 48"/>
                  <wp:cNvGraphicFramePr/>
                  <a:graphic xmlns:a="http://schemas.openxmlformats.org/drawingml/2006/main">
                    <a:graphicData uri="http://schemas.openxmlformats.org/drawingml/2006/picture">
                      <pic:pic xmlns:pic="http://schemas.openxmlformats.org/drawingml/2006/picture">
                        <pic:nvPicPr>
                          <pic:cNvPr id="191" name="图片 4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0841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92" name="图片 49"/>
                  <wp:cNvGraphicFramePr/>
                  <a:graphic xmlns:a="http://schemas.openxmlformats.org/drawingml/2006/main">
                    <a:graphicData uri="http://schemas.openxmlformats.org/drawingml/2006/picture">
                      <pic:pic xmlns:pic="http://schemas.openxmlformats.org/drawingml/2006/picture">
                        <pic:nvPicPr>
                          <pic:cNvPr id="192" name="图片 4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0944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93" name="图片 50"/>
                  <wp:cNvGraphicFramePr/>
                  <a:graphic xmlns:a="http://schemas.openxmlformats.org/drawingml/2006/main">
                    <a:graphicData uri="http://schemas.openxmlformats.org/drawingml/2006/picture">
                      <pic:pic xmlns:pic="http://schemas.openxmlformats.org/drawingml/2006/picture">
                        <pic:nvPicPr>
                          <pic:cNvPr id="193" name="图片 5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1046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94" name="图片 51"/>
                  <wp:cNvGraphicFramePr/>
                  <a:graphic xmlns:a="http://schemas.openxmlformats.org/drawingml/2006/main">
                    <a:graphicData uri="http://schemas.openxmlformats.org/drawingml/2006/picture">
                      <pic:pic xmlns:pic="http://schemas.openxmlformats.org/drawingml/2006/picture">
                        <pic:nvPicPr>
                          <pic:cNvPr id="194" name="图片 5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1148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95" name="图片 52"/>
                  <wp:cNvGraphicFramePr/>
                  <a:graphic xmlns:a="http://schemas.openxmlformats.org/drawingml/2006/main">
                    <a:graphicData uri="http://schemas.openxmlformats.org/drawingml/2006/picture">
                      <pic:pic xmlns:pic="http://schemas.openxmlformats.org/drawingml/2006/picture">
                        <pic:nvPicPr>
                          <pic:cNvPr id="195" name="图片 5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1251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96" name="图片 53"/>
                  <wp:cNvGraphicFramePr/>
                  <a:graphic xmlns:a="http://schemas.openxmlformats.org/drawingml/2006/main">
                    <a:graphicData uri="http://schemas.openxmlformats.org/drawingml/2006/picture">
                      <pic:pic xmlns:pic="http://schemas.openxmlformats.org/drawingml/2006/picture">
                        <pic:nvPicPr>
                          <pic:cNvPr id="196" name="图片 5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1353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97" name="图片 54"/>
                  <wp:cNvGraphicFramePr/>
                  <a:graphic xmlns:a="http://schemas.openxmlformats.org/drawingml/2006/main">
                    <a:graphicData uri="http://schemas.openxmlformats.org/drawingml/2006/picture">
                      <pic:pic xmlns:pic="http://schemas.openxmlformats.org/drawingml/2006/picture">
                        <pic:nvPicPr>
                          <pic:cNvPr id="197" name="图片 5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1456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98" name="图片 55"/>
                  <wp:cNvGraphicFramePr/>
                  <a:graphic xmlns:a="http://schemas.openxmlformats.org/drawingml/2006/main">
                    <a:graphicData uri="http://schemas.openxmlformats.org/drawingml/2006/picture">
                      <pic:pic xmlns:pic="http://schemas.openxmlformats.org/drawingml/2006/picture">
                        <pic:nvPicPr>
                          <pic:cNvPr id="198" name="图片 5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1558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199" name="图片 56"/>
                  <wp:cNvGraphicFramePr/>
                  <a:graphic xmlns:a="http://schemas.openxmlformats.org/drawingml/2006/main">
                    <a:graphicData uri="http://schemas.openxmlformats.org/drawingml/2006/picture">
                      <pic:pic xmlns:pic="http://schemas.openxmlformats.org/drawingml/2006/picture">
                        <pic:nvPicPr>
                          <pic:cNvPr id="199" name="图片 5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1660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00" name="图片 57"/>
                  <wp:cNvGraphicFramePr/>
                  <a:graphic xmlns:a="http://schemas.openxmlformats.org/drawingml/2006/main">
                    <a:graphicData uri="http://schemas.openxmlformats.org/drawingml/2006/picture">
                      <pic:pic xmlns:pic="http://schemas.openxmlformats.org/drawingml/2006/picture">
                        <pic:nvPicPr>
                          <pic:cNvPr id="200" name="图片 5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1763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01" name="图片 58"/>
                  <wp:cNvGraphicFramePr/>
                  <a:graphic xmlns:a="http://schemas.openxmlformats.org/drawingml/2006/main">
                    <a:graphicData uri="http://schemas.openxmlformats.org/drawingml/2006/picture">
                      <pic:pic xmlns:pic="http://schemas.openxmlformats.org/drawingml/2006/picture">
                        <pic:nvPicPr>
                          <pic:cNvPr id="201" name="图片 5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1865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02" name="图片 59"/>
                  <wp:cNvGraphicFramePr/>
                  <a:graphic xmlns:a="http://schemas.openxmlformats.org/drawingml/2006/main">
                    <a:graphicData uri="http://schemas.openxmlformats.org/drawingml/2006/picture">
                      <pic:pic xmlns:pic="http://schemas.openxmlformats.org/drawingml/2006/picture">
                        <pic:nvPicPr>
                          <pic:cNvPr id="202" name="图片 5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1968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03" name="图片 60"/>
                  <wp:cNvGraphicFramePr/>
                  <a:graphic xmlns:a="http://schemas.openxmlformats.org/drawingml/2006/main">
                    <a:graphicData uri="http://schemas.openxmlformats.org/drawingml/2006/picture">
                      <pic:pic xmlns:pic="http://schemas.openxmlformats.org/drawingml/2006/picture">
                        <pic:nvPicPr>
                          <pic:cNvPr id="203" name="图片 6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2070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04" name="图片 61"/>
                  <wp:cNvGraphicFramePr/>
                  <a:graphic xmlns:a="http://schemas.openxmlformats.org/drawingml/2006/main">
                    <a:graphicData uri="http://schemas.openxmlformats.org/drawingml/2006/picture">
                      <pic:pic xmlns:pic="http://schemas.openxmlformats.org/drawingml/2006/picture">
                        <pic:nvPicPr>
                          <pic:cNvPr id="204" name="图片 6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2172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05" name="图片 62"/>
                  <wp:cNvGraphicFramePr/>
                  <a:graphic xmlns:a="http://schemas.openxmlformats.org/drawingml/2006/main">
                    <a:graphicData uri="http://schemas.openxmlformats.org/drawingml/2006/picture">
                      <pic:pic xmlns:pic="http://schemas.openxmlformats.org/drawingml/2006/picture">
                        <pic:nvPicPr>
                          <pic:cNvPr id="205" name="图片 6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2275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06" name="图片 63"/>
                  <wp:cNvGraphicFramePr/>
                  <a:graphic xmlns:a="http://schemas.openxmlformats.org/drawingml/2006/main">
                    <a:graphicData uri="http://schemas.openxmlformats.org/drawingml/2006/picture">
                      <pic:pic xmlns:pic="http://schemas.openxmlformats.org/drawingml/2006/picture">
                        <pic:nvPicPr>
                          <pic:cNvPr id="206" name="图片 6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2377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07" name="图片 64"/>
                  <wp:cNvGraphicFramePr/>
                  <a:graphic xmlns:a="http://schemas.openxmlformats.org/drawingml/2006/main">
                    <a:graphicData uri="http://schemas.openxmlformats.org/drawingml/2006/picture">
                      <pic:pic xmlns:pic="http://schemas.openxmlformats.org/drawingml/2006/picture">
                        <pic:nvPicPr>
                          <pic:cNvPr id="207" name="图片 6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2480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08" name="图片 65"/>
                  <wp:cNvGraphicFramePr/>
                  <a:graphic xmlns:a="http://schemas.openxmlformats.org/drawingml/2006/main">
                    <a:graphicData uri="http://schemas.openxmlformats.org/drawingml/2006/picture">
                      <pic:pic xmlns:pic="http://schemas.openxmlformats.org/drawingml/2006/picture">
                        <pic:nvPicPr>
                          <pic:cNvPr id="208" name="图片 6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2582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09" name="图片 66"/>
                  <wp:cNvGraphicFramePr/>
                  <a:graphic xmlns:a="http://schemas.openxmlformats.org/drawingml/2006/main">
                    <a:graphicData uri="http://schemas.openxmlformats.org/drawingml/2006/picture">
                      <pic:pic xmlns:pic="http://schemas.openxmlformats.org/drawingml/2006/picture">
                        <pic:nvPicPr>
                          <pic:cNvPr id="209" name="图片 6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2684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10" name="图片 67"/>
                  <wp:cNvGraphicFramePr/>
                  <a:graphic xmlns:a="http://schemas.openxmlformats.org/drawingml/2006/main">
                    <a:graphicData uri="http://schemas.openxmlformats.org/drawingml/2006/picture">
                      <pic:pic xmlns:pic="http://schemas.openxmlformats.org/drawingml/2006/picture">
                        <pic:nvPicPr>
                          <pic:cNvPr id="210" name="图片 6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2787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11" name="图片 68"/>
                  <wp:cNvGraphicFramePr/>
                  <a:graphic xmlns:a="http://schemas.openxmlformats.org/drawingml/2006/main">
                    <a:graphicData uri="http://schemas.openxmlformats.org/drawingml/2006/picture">
                      <pic:pic xmlns:pic="http://schemas.openxmlformats.org/drawingml/2006/picture">
                        <pic:nvPicPr>
                          <pic:cNvPr id="211" name="图片 6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2889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12" name="图片 69"/>
                  <wp:cNvGraphicFramePr/>
                  <a:graphic xmlns:a="http://schemas.openxmlformats.org/drawingml/2006/main">
                    <a:graphicData uri="http://schemas.openxmlformats.org/drawingml/2006/picture">
                      <pic:pic xmlns:pic="http://schemas.openxmlformats.org/drawingml/2006/picture">
                        <pic:nvPicPr>
                          <pic:cNvPr id="212" name="图片 6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2992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13" name="图片 70"/>
                  <wp:cNvGraphicFramePr/>
                  <a:graphic xmlns:a="http://schemas.openxmlformats.org/drawingml/2006/main">
                    <a:graphicData uri="http://schemas.openxmlformats.org/drawingml/2006/picture">
                      <pic:pic xmlns:pic="http://schemas.openxmlformats.org/drawingml/2006/picture">
                        <pic:nvPicPr>
                          <pic:cNvPr id="213" name="图片 7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3094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14" name="图片 71"/>
                  <wp:cNvGraphicFramePr/>
                  <a:graphic xmlns:a="http://schemas.openxmlformats.org/drawingml/2006/main">
                    <a:graphicData uri="http://schemas.openxmlformats.org/drawingml/2006/picture">
                      <pic:pic xmlns:pic="http://schemas.openxmlformats.org/drawingml/2006/picture">
                        <pic:nvPicPr>
                          <pic:cNvPr id="214" name="图片 7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3196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15" name="图片 72"/>
                  <wp:cNvGraphicFramePr/>
                  <a:graphic xmlns:a="http://schemas.openxmlformats.org/drawingml/2006/main">
                    <a:graphicData uri="http://schemas.openxmlformats.org/drawingml/2006/picture">
                      <pic:pic xmlns:pic="http://schemas.openxmlformats.org/drawingml/2006/picture">
                        <pic:nvPicPr>
                          <pic:cNvPr id="215" name="图片 7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3299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16" name="图片 73"/>
                  <wp:cNvGraphicFramePr/>
                  <a:graphic xmlns:a="http://schemas.openxmlformats.org/drawingml/2006/main">
                    <a:graphicData uri="http://schemas.openxmlformats.org/drawingml/2006/picture">
                      <pic:pic xmlns:pic="http://schemas.openxmlformats.org/drawingml/2006/picture">
                        <pic:nvPicPr>
                          <pic:cNvPr id="216" name="图片 7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t>1.采用C/S或B/S软件架构设计，支持对音频处理矩阵进行管理。</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 xml:space="preserve">2.直观、图形化软件控制界面。 </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3.信道管理：提供输入输出信道的快捷控制方式，每个通道的处理器都可以快速直通和启用，选中不同的信道，会自动切换信道信息；</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4.扩展器管理：支持通过扩展器调整输入的动态范围；</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5.自动增益：支持通过改变输入输出压缩比例来自动控制增益的幅度，自动提升和压缩话筒音量，使之以恒定的电平输出；</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6.压缩器管理：支持通过压缩器减少信号高于用户确定的阈值的动态范围，信号电平低于阈值保持不变；</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7.均衡器管理：采用C/S或B/S软件架构设计，支持对音频处理矩阵进行管理。</w:t>
            </w:r>
          </w:p>
        </w:tc>
        <w:tc>
          <w:tcPr>
            <w:tcW w:w="230" w:type="pct"/>
            <w:tcBorders>
              <w:top w:val="single" w:color="auto" w:sz="8" w:space="0"/>
            </w:tcBorders>
            <w:vAlign w:val="center"/>
          </w:tcPr>
          <w:p w14:paraId="3B9FC2CE">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套</w:t>
            </w:r>
          </w:p>
        </w:tc>
        <w:tc>
          <w:tcPr>
            <w:tcW w:w="275" w:type="pct"/>
            <w:tcBorders>
              <w:top w:val="single" w:color="auto" w:sz="8" w:space="0"/>
            </w:tcBorders>
            <w:vAlign w:val="center"/>
          </w:tcPr>
          <w:p w14:paraId="51D9BC0F">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4C44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748DF2A7">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5E03889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拾音话筒</w:t>
            </w:r>
          </w:p>
        </w:tc>
        <w:tc>
          <w:tcPr>
            <w:tcW w:w="3737" w:type="pct"/>
            <w:tcBorders>
              <w:top w:val="single" w:color="auto" w:sz="8" w:space="0"/>
            </w:tcBorders>
            <w:shd w:val="clear" w:color="auto" w:fill="auto"/>
          </w:tcPr>
          <w:p w14:paraId="128ACE5A">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1)指向性：超心型</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2)频率响应：40Hz—16kHz</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3)灵敏度：-29dB±3dB</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4)输出抗阻：500Ω±20%</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5)最大声压级：130dB</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6)信噪比：70dB</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7)动态范围：106dB</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8)使用电源：48V 幻象电源（48V DC），2mA</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输出接口（Output Interface）：XLRM三针公卡侬</w:t>
            </w:r>
          </w:p>
        </w:tc>
        <w:tc>
          <w:tcPr>
            <w:tcW w:w="230" w:type="pct"/>
            <w:tcBorders>
              <w:top w:val="single" w:color="auto" w:sz="8" w:space="0"/>
            </w:tcBorders>
            <w:vAlign w:val="center"/>
          </w:tcPr>
          <w:p w14:paraId="3651CCB9">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支</w:t>
            </w:r>
          </w:p>
        </w:tc>
        <w:tc>
          <w:tcPr>
            <w:tcW w:w="275" w:type="pct"/>
            <w:tcBorders>
              <w:top w:val="single" w:color="auto" w:sz="8" w:space="0"/>
            </w:tcBorders>
            <w:vAlign w:val="center"/>
          </w:tcPr>
          <w:p w14:paraId="44253C4D">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w:t>
            </w:r>
          </w:p>
        </w:tc>
      </w:tr>
      <w:tr w14:paraId="4D3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5F6B38B6">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7A56ABF4">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前端控制部分</w:t>
            </w:r>
          </w:p>
        </w:tc>
        <w:tc>
          <w:tcPr>
            <w:tcW w:w="3737" w:type="pct"/>
            <w:tcBorders>
              <w:top w:val="single" w:color="auto" w:sz="8" w:space="0"/>
            </w:tcBorders>
            <w:shd w:val="clear" w:color="auto" w:fill="FABF8F"/>
            <w:vAlign w:val="center"/>
          </w:tcPr>
          <w:p w14:paraId="2F07C41B">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3852EA8D">
            <w:pPr>
              <w:jc w:val="center"/>
              <w:rPr>
                <w:rFonts w:hint="eastAsia" w:ascii="仿宋" w:hAnsi="仿宋" w:eastAsia="仿宋" w:cs="仿宋"/>
                <w:b/>
                <w:color w:val="000000" w:themeColor="text1"/>
                <w:szCs w:val="21"/>
                <w14:textFill>
                  <w14:solidFill>
                    <w14:schemeClr w14:val="tx1"/>
                  </w14:solidFill>
                </w14:textFill>
              </w:rPr>
            </w:pPr>
          </w:p>
          <w:p w14:paraId="1C70DC5A"/>
        </w:tc>
        <w:tc>
          <w:tcPr>
            <w:tcW w:w="275" w:type="pct"/>
            <w:tcBorders>
              <w:top w:val="single" w:color="auto" w:sz="8" w:space="0"/>
            </w:tcBorders>
            <w:shd w:val="clear" w:color="auto" w:fill="FABF8F"/>
            <w:vAlign w:val="center"/>
          </w:tcPr>
          <w:p w14:paraId="05F47D3D">
            <w:pPr>
              <w:jc w:val="center"/>
              <w:rPr>
                <w:rFonts w:hint="eastAsia" w:ascii="仿宋" w:hAnsi="仿宋" w:eastAsia="仿宋" w:cs="仿宋"/>
                <w:b/>
                <w:color w:val="000000" w:themeColor="text1"/>
                <w:szCs w:val="21"/>
                <w14:textFill>
                  <w14:solidFill>
                    <w14:schemeClr w14:val="tx1"/>
                  </w14:solidFill>
                </w14:textFill>
              </w:rPr>
            </w:pPr>
          </w:p>
        </w:tc>
      </w:tr>
      <w:tr w14:paraId="3E33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5DB19401">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57B65AB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录制面板</w:t>
            </w:r>
          </w:p>
        </w:tc>
        <w:tc>
          <w:tcPr>
            <w:tcW w:w="3737" w:type="pct"/>
            <w:tcBorders>
              <w:top w:val="single" w:color="auto" w:sz="8" w:space="0"/>
            </w:tcBorders>
            <w:shd w:val="clear" w:color="auto" w:fill="auto"/>
          </w:tcPr>
          <w:p w14:paraId="5FACA7A0">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1.硬件设计</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1）具备10.1英寸1280*800高清IPS屏幕；</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2）存储性能：缓存容量不小于1G,存储容量不小于16G；</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3）操作系统 ：Android 6.0及以上；</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4）接口类型：TF 卡槽≥1，USB≥1，网络接口≥1，3.5mm耳机接口≥1；</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2.整体设计</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1）控制方式：支持通过网络连接进行录播主机的管理、控制；</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2）电源管理：支持控制录播主机的关机、休眠、唤醒操作；</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3）按键组合功能：支持最大5个功能按键组合成一个按键组合，可自定义组合按键名称、图标、按键；</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4）集成录课模式控制、互动模式控制、录像资源管理等控制应用；</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3.录课模式控制</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1）支持通过触控面板实时预览录制信号画面，进行导播操作；</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2）支持录制开始/停止、录制暂停/恢复、直播开启/关闭、电脑画面锁定/解锁等功能操作；</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3）支持常用键位设置，可设置各镜头快速切换、画面布局等相关录课操作常用键位；</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4.互动模式控制</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1）支持通讯录呼叫功能，读取显示录播主机通讯录，并能够通过通讯录进行快速呼叫；</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2）支持快速拨号呼叫功能，输入用户短号实现快速呼叫；</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3）支持通过触控面板实时预览互动信号画面，实现直观互动控制；</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4）支持互动过程的录制、暂停、直播等操作；</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5）支持互动过程的自动导播控制、互动导播画面自由选择控制功能；</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5.录像资源管理控制</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1）支持录像资源管理，通过导播控制软件直观呈现当前录播主机的录像资源信息，并支持选择相关的录课资源进行回放；</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2）支持录制资源下载操作，将文件下载至U盘进行移动共享。</w:t>
            </w:r>
          </w:p>
        </w:tc>
        <w:tc>
          <w:tcPr>
            <w:tcW w:w="230" w:type="pct"/>
            <w:tcBorders>
              <w:top w:val="single" w:color="auto" w:sz="8" w:space="0"/>
            </w:tcBorders>
            <w:vAlign w:val="center"/>
          </w:tcPr>
          <w:p w14:paraId="4BAEF7C6">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台</w:t>
            </w:r>
          </w:p>
        </w:tc>
        <w:tc>
          <w:tcPr>
            <w:tcW w:w="275" w:type="pct"/>
            <w:tcBorders>
              <w:top w:val="single" w:color="auto" w:sz="8" w:space="0"/>
            </w:tcBorders>
            <w:vAlign w:val="center"/>
          </w:tcPr>
          <w:p w14:paraId="59628858">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021F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4ACB410C">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667F266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电源管理器</w:t>
            </w:r>
          </w:p>
        </w:tc>
        <w:tc>
          <w:tcPr>
            <w:tcW w:w="3737" w:type="pct"/>
            <w:tcBorders>
              <w:top w:val="single" w:color="auto" w:sz="8" w:space="0"/>
            </w:tcBorders>
            <w:shd w:val="clear" w:color="auto" w:fill="auto"/>
          </w:tcPr>
          <w:p w14:paraId="3120F099">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3401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17" name="图片 74"/>
                  <wp:cNvGraphicFramePr/>
                  <a:graphic xmlns:a="http://schemas.openxmlformats.org/drawingml/2006/main">
                    <a:graphicData uri="http://schemas.openxmlformats.org/drawingml/2006/picture">
                      <pic:pic xmlns:pic="http://schemas.openxmlformats.org/drawingml/2006/picture">
                        <pic:nvPicPr>
                          <pic:cNvPr id="217" name="图片 7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3504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18" name="图片 75"/>
                  <wp:cNvGraphicFramePr/>
                  <a:graphic xmlns:a="http://schemas.openxmlformats.org/drawingml/2006/main">
                    <a:graphicData uri="http://schemas.openxmlformats.org/drawingml/2006/picture">
                      <pic:pic xmlns:pic="http://schemas.openxmlformats.org/drawingml/2006/picture">
                        <pic:nvPicPr>
                          <pic:cNvPr id="218" name="图片 7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3606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19" name="图片 76"/>
                  <wp:cNvGraphicFramePr/>
                  <a:graphic xmlns:a="http://schemas.openxmlformats.org/drawingml/2006/main">
                    <a:graphicData uri="http://schemas.openxmlformats.org/drawingml/2006/picture">
                      <pic:pic xmlns:pic="http://schemas.openxmlformats.org/drawingml/2006/picture">
                        <pic:nvPicPr>
                          <pic:cNvPr id="219" name="图片 7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3708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20" name="图片 77"/>
                  <wp:cNvGraphicFramePr/>
                  <a:graphic xmlns:a="http://schemas.openxmlformats.org/drawingml/2006/main">
                    <a:graphicData uri="http://schemas.openxmlformats.org/drawingml/2006/picture">
                      <pic:pic xmlns:pic="http://schemas.openxmlformats.org/drawingml/2006/picture">
                        <pic:nvPicPr>
                          <pic:cNvPr id="220" name="图片 7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3811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21" name="图片 78"/>
                  <wp:cNvGraphicFramePr/>
                  <a:graphic xmlns:a="http://schemas.openxmlformats.org/drawingml/2006/main">
                    <a:graphicData uri="http://schemas.openxmlformats.org/drawingml/2006/picture">
                      <pic:pic xmlns:pic="http://schemas.openxmlformats.org/drawingml/2006/picture">
                        <pic:nvPicPr>
                          <pic:cNvPr id="221" name="图片 7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3913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22" name="图片 79"/>
                  <wp:cNvGraphicFramePr/>
                  <a:graphic xmlns:a="http://schemas.openxmlformats.org/drawingml/2006/main">
                    <a:graphicData uri="http://schemas.openxmlformats.org/drawingml/2006/picture">
                      <pic:pic xmlns:pic="http://schemas.openxmlformats.org/drawingml/2006/picture">
                        <pic:nvPicPr>
                          <pic:cNvPr id="222" name="图片 7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4016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23" name="图片 80"/>
                  <wp:cNvGraphicFramePr/>
                  <a:graphic xmlns:a="http://schemas.openxmlformats.org/drawingml/2006/main">
                    <a:graphicData uri="http://schemas.openxmlformats.org/drawingml/2006/picture">
                      <pic:pic xmlns:pic="http://schemas.openxmlformats.org/drawingml/2006/picture">
                        <pic:nvPicPr>
                          <pic:cNvPr id="223" name="图片 8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4118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24" name="图片 81"/>
                  <wp:cNvGraphicFramePr/>
                  <a:graphic xmlns:a="http://schemas.openxmlformats.org/drawingml/2006/main">
                    <a:graphicData uri="http://schemas.openxmlformats.org/drawingml/2006/picture">
                      <pic:pic xmlns:pic="http://schemas.openxmlformats.org/drawingml/2006/picture">
                        <pic:nvPicPr>
                          <pic:cNvPr id="224" name="图片 8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4220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25" name="图片 82"/>
                  <wp:cNvGraphicFramePr/>
                  <a:graphic xmlns:a="http://schemas.openxmlformats.org/drawingml/2006/main">
                    <a:graphicData uri="http://schemas.openxmlformats.org/drawingml/2006/picture">
                      <pic:pic xmlns:pic="http://schemas.openxmlformats.org/drawingml/2006/picture">
                        <pic:nvPicPr>
                          <pic:cNvPr id="225" name="图片 8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4323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26" name="图片 83"/>
                  <wp:cNvGraphicFramePr/>
                  <a:graphic xmlns:a="http://schemas.openxmlformats.org/drawingml/2006/main">
                    <a:graphicData uri="http://schemas.openxmlformats.org/drawingml/2006/picture">
                      <pic:pic xmlns:pic="http://schemas.openxmlformats.org/drawingml/2006/picture">
                        <pic:nvPicPr>
                          <pic:cNvPr id="226" name="图片 8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4425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27" name="图片 84"/>
                  <wp:cNvGraphicFramePr/>
                  <a:graphic xmlns:a="http://schemas.openxmlformats.org/drawingml/2006/main">
                    <a:graphicData uri="http://schemas.openxmlformats.org/drawingml/2006/picture">
                      <pic:pic xmlns:pic="http://schemas.openxmlformats.org/drawingml/2006/picture">
                        <pic:nvPicPr>
                          <pic:cNvPr id="227" name="图片 8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4528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28" name="图片 85"/>
                  <wp:cNvGraphicFramePr/>
                  <a:graphic xmlns:a="http://schemas.openxmlformats.org/drawingml/2006/main">
                    <a:graphicData uri="http://schemas.openxmlformats.org/drawingml/2006/picture">
                      <pic:pic xmlns:pic="http://schemas.openxmlformats.org/drawingml/2006/picture">
                        <pic:nvPicPr>
                          <pic:cNvPr id="228" name="图片 8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4630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29" name="图片 86"/>
                  <wp:cNvGraphicFramePr/>
                  <a:graphic xmlns:a="http://schemas.openxmlformats.org/drawingml/2006/main">
                    <a:graphicData uri="http://schemas.openxmlformats.org/drawingml/2006/picture">
                      <pic:pic xmlns:pic="http://schemas.openxmlformats.org/drawingml/2006/picture">
                        <pic:nvPicPr>
                          <pic:cNvPr id="229" name="图片 8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4732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30" name="图片 87"/>
                  <wp:cNvGraphicFramePr/>
                  <a:graphic xmlns:a="http://schemas.openxmlformats.org/drawingml/2006/main">
                    <a:graphicData uri="http://schemas.openxmlformats.org/drawingml/2006/picture">
                      <pic:pic xmlns:pic="http://schemas.openxmlformats.org/drawingml/2006/picture">
                        <pic:nvPicPr>
                          <pic:cNvPr id="230" name="图片 8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4835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31" name="图片 88"/>
                  <wp:cNvGraphicFramePr/>
                  <a:graphic xmlns:a="http://schemas.openxmlformats.org/drawingml/2006/main">
                    <a:graphicData uri="http://schemas.openxmlformats.org/drawingml/2006/picture">
                      <pic:pic xmlns:pic="http://schemas.openxmlformats.org/drawingml/2006/picture">
                        <pic:nvPicPr>
                          <pic:cNvPr id="231" name="图片 8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4937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32" name="图片 89"/>
                  <wp:cNvGraphicFramePr/>
                  <a:graphic xmlns:a="http://schemas.openxmlformats.org/drawingml/2006/main">
                    <a:graphicData uri="http://schemas.openxmlformats.org/drawingml/2006/picture">
                      <pic:pic xmlns:pic="http://schemas.openxmlformats.org/drawingml/2006/picture">
                        <pic:nvPicPr>
                          <pic:cNvPr id="232" name="图片 8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5040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33" name="图片 90"/>
                  <wp:cNvGraphicFramePr/>
                  <a:graphic xmlns:a="http://schemas.openxmlformats.org/drawingml/2006/main">
                    <a:graphicData uri="http://schemas.openxmlformats.org/drawingml/2006/picture">
                      <pic:pic xmlns:pic="http://schemas.openxmlformats.org/drawingml/2006/picture">
                        <pic:nvPicPr>
                          <pic:cNvPr id="233" name="图片 9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5142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34" name="图片 91"/>
                  <wp:cNvGraphicFramePr/>
                  <a:graphic xmlns:a="http://schemas.openxmlformats.org/drawingml/2006/main">
                    <a:graphicData uri="http://schemas.openxmlformats.org/drawingml/2006/picture">
                      <pic:pic xmlns:pic="http://schemas.openxmlformats.org/drawingml/2006/picture">
                        <pic:nvPicPr>
                          <pic:cNvPr id="234" name="图片 9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5244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35" name="图片 92"/>
                  <wp:cNvGraphicFramePr/>
                  <a:graphic xmlns:a="http://schemas.openxmlformats.org/drawingml/2006/main">
                    <a:graphicData uri="http://schemas.openxmlformats.org/drawingml/2006/picture">
                      <pic:pic xmlns:pic="http://schemas.openxmlformats.org/drawingml/2006/picture">
                        <pic:nvPicPr>
                          <pic:cNvPr id="235" name="图片 9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5347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36" name="图片 93"/>
                  <wp:cNvGraphicFramePr/>
                  <a:graphic xmlns:a="http://schemas.openxmlformats.org/drawingml/2006/main">
                    <a:graphicData uri="http://schemas.openxmlformats.org/drawingml/2006/picture">
                      <pic:pic xmlns:pic="http://schemas.openxmlformats.org/drawingml/2006/picture">
                        <pic:nvPicPr>
                          <pic:cNvPr id="236" name="图片 9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5449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37" name="图片 94"/>
                  <wp:cNvGraphicFramePr/>
                  <a:graphic xmlns:a="http://schemas.openxmlformats.org/drawingml/2006/main">
                    <a:graphicData uri="http://schemas.openxmlformats.org/drawingml/2006/picture">
                      <pic:pic xmlns:pic="http://schemas.openxmlformats.org/drawingml/2006/picture">
                        <pic:nvPicPr>
                          <pic:cNvPr id="237" name="图片 9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5552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38" name="图片 95"/>
                  <wp:cNvGraphicFramePr/>
                  <a:graphic xmlns:a="http://schemas.openxmlformats.org/drawingml/2006/main">
                    <a:graphicData uri="http://schemas.openxmlformats.org/drawingml/2006/picture">
                      <pic:pic xmlns:pic="http://schemas.openxmlformats.org/drawingml/2006/picture">
                        <pic:nvPicPr>
                          <pic:cNvPr id="238" name="图片 9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5654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39" name="图片 96"/>
                  <wp:cNvGraphicFramePr/>
                  <a:graphic xmlns:a="http://schemas.openxmlformats.org/drawingml/2006/main">
                    <a:graphicData uri="http://schemas.openxmlformats.org/drawingml/2006/picture">
                      <pic:pic xmlns:pic="http://schemas.openxmlformats.org/drawingml/2006/picture">
                        <pic:nvPicPr>
                          <pic:cNvPr id="239" name="图片 9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5756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40" name="图片 97"/>
                  <wp:cNvGraphicFramePr/>
                  <a:graphic xmlns:a="http://schemas.openxmlformats.org/drawingml/2006/main">
                    <a:graphicData uri="http://schemas.openxmlformats.org/drawingml/2006/picture">
                      <pic:pic xmlns:pic="http://schemas.openxmlformats.org/drawingml/2006/picture">
                        <pic:nvPicPr>
                          <pic:cNvPr id="240" name="图片 9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5859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41" name="图片 98"/>
                  <wp:cNvGraphicFramePr/>
                  <a:graphic xmlns:a="http://schemas.openxmlformats.org/drawingml/2006/main">
                    <a:graphicData uri="http://schemas.openxmlformats.org/drawingml/2006/picture">
                      <pic:pic xmlns:pic="http://schemas.openxmlformats.org/drawingml/2006/picture">
                        <pic:nvPicPr>
                          <pic:cNvPr id="241" name="图片 9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5961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42" name="图片 99"/>
                  <wp:cNvGraphicFramePr/>
                  <a:graphic xmlns:a="http://schemas.openxmlformats.org/drawingml/2006/main">
                    <a:graphicData uri="http://schemas.openxmlformats.org/drawingml/2006/picture">
                      <pic:pic xmlns:pic="http://schemas.openxmlformats.org/drawingml/2006/picture">
                        <pic:nvPicPr>
                          <pic:cNvPr id="242" name="图片 9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6064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43" name="图片 100"/>
                  <wp:cNvGraphicFramePr/>
                  <a:graphic xmlns:a="http://schemas.openxmlformats.org/drawingml/2006/main">
                    <a:graphicData uri="http://schemas.openxmlformats.org/drawingml/2006/picture">
                      <pic:pic xmlns:pic="http://schemas.openxmlformats.org/drawingml/2006/picture">
                        <pic:nvPicPr>
                          <pic:cNvPr id="243" name="图片 10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6166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44" name="图片 101"/>
                  <wp:cNvGraphicFramePr/>
                  <a:graphic xmlns:a="http://schemas.openxmlformats.org/drawingml/2006/main">
                    <a:graphicData uri="http://schemas.openxmlformats.org/drawingml/2006/picture">
                      <pic:pic xmlns:pic="http://schemas.openxmlformats.org/drawingml/2006/picture">
                        <pic:nvPicPr>
                          <pic:cNvPr id="244" name="图片 10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6268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45" name="图片 102"/>
                  <wp:cNvGraphicFramePr/>
                  <a:graphic xmlns:a="http://schemas.openxmlformats.org/drawingml/2006/main">
                    <a:graphicData uri="http://schemas.openxmlformats.org/drawingml/2006/picture">
                      <pic:pic xmlns:pic="http://schemas.openxmlformats.org/drawingml/2006/picture">
                        <pic:nvPicPr>
                          <pic:cNvPr id="245" name="图片 10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6371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46" name="图片 103"/>
                  <wp:cNvGraphicFramePr/>
                  <a:graphic xmlns:a="http://schemas.openxmlformats.org/drawingml/2006/main">
                    <a:graphicData uri="http://schemas.openxmlformats.org/drawingml/2006/picture">
                      <pic:pic xmlns:pic="http://schemas.openxmlformats.org/drawingml/2006/picture">
                        <pic:nvPicPr>
                          <pic:cNvPr id="246" name="图片 10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6473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47" name="图片 104"/>
                  <wp:cNvGraphicFramePr/>
                  <a:graphic xmlns:a="http://schemas.openxmlformats.org/drawingml/2006/main">
                    <a:graphicData uri="http://schemas.openxmlformats.org/drawingml/2006/picture">
                      <pic:pic xmlns:pic="http://schemas.openxmlformats.org/drawingml/2006/picture">
                        <pic:nvPicPr>
                          <pic:cNvPr id="247" name="图片 10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6576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48" name="图片 105"/>
                  <wp:cNvGraphicFramePr/>
                  <a:graphic xmlns:a="http://schemas.openxmlformats.org/drawingml/2006/main">
                    <a:graphicData uri="http://schemas.openxmlformats.org/drawingml/2006/picture">
                      <pic:pic xmlns:pic="http://schemas.openxmlformats.org/drawingml/2006/picture">
                        <pic:nvPicPr>
                          <pic:cNvPr id="248" name="图片 10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6678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49" name="图片 106"/>
                  <wp:cNvGraphicFramePr/>
                  <a:graphic xmlns:a="http://schemas.openxmlformats.org/drawingml/2006/main">
                    <a:graphicData uri="http://schemas.openxmlformats.org/drawingml/2006/picture">
                      <pic:pic xmlns:pic="http://schemas.openxmlformats.org/drawingml/2006/picture">
                        <pic:nvPicPr>
                          <pic:cNvPr id="249" name="图片 10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6780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50" name="图片 107"/>
                  <wp:cNvGraphicFramePr/>
                  <a:graphic xmlns:a="http://schemas.openxmlformats.org/drawingml/2006/main">
                    <a:graphicData uri="http://schemas.openxmlformats.org/drawingml/2006/picture">
                      <pic:pic xmlns:pic="http://schemas.openxmlformats.org/drawingml/2006/picture">
                        <pic:nvPicPr>
                          <pic:cNvPr id="250" name="图片 10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6883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51" name="图片 108"/>
                  <wp:cNvGraphicFramePr/>
                  <a:graphic xmlns:a="http://schemas.openxmlformats.org/drawingml/2006/main">
                    <a:graphicData uri="http://schemas.openxmlformats.org/drawingml/2006/picture">
                      <pic:pic xmlns:pic="http://schemas.openxmlformats.org/drawingml/2006/picture">
                        <pic:nvPicPr>
                          <pic:cNvPr id="251" name="图片 10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6985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52" name="图片 109"/>
                  <wp:cNvGraphicFramePr/>
                  <a:graphic xmlns:a="http://schemas.openxmlformats.org/drawingml/2006/main">
                    <a:graphicData uri="http://schemas.openxmlformats.org/drawingml/2006/picture">
                      <pic:pic xmlns:pic="http://schemas.openxmlformats.org/drawingml/2006/picture">
                        <pic:nvPicPr>
                          <pic:cNvPr id="252" name="图片 10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7088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53" name="图片 110"/>
                  <wp:cNvGraphicFramePr/>
                  <a:graphic xmlns:a="http://schemas.openxmlformats.org/drawingml/2006/main">
                    <a:graphicData uri="http://schemas.openxmlformats.org/drawingml/2006/picture">
                      <pic:pic xmlns:pic="http://schemas.openxmlformats.org/drawingml/2006/picture">
                        <pic:nvPicPr>
                          <pic:cNvPr id="253" name="图片 11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7190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54" name="图片 111"/>
                  <wp:cNvGraphicFramePr/>
                  <a:graphic xmlns:a="http://schemas.openxmlformats.org/drawingml/2006/main">
                    <a:graphicData uri="http://schemas.openxmlformats.org/drawingml/2006/picture">
                      <pic:pic xmlns:pic="http://schemas.openxmlformats.org/drawingml/2006/picture">
                        <pic:nvPicPr>
                          <pic:cNvPr id="254" name="图片 11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7292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55" name="图片 112"/>
                  <wp:cNvGraphicFramePr/>
                  <a:graphic xmlns:a="http://schemas.openxmlformats.org/drawingml/2006/main">
                    <a:graphicData uri="http://schemas.openxmlformats.org/drawingml/2006/picture">
                      <pic:pic xmlns:pic="http://schemas.openxmlformats.org/drawingml/2006/picture">
                        <pic:nvPicPr>
                          <pic:cNvPr id="255" name="图片 11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7395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56" name="图片 113"/>
                  <wp:cNvGraphicFramePr/>
                  <a:graphic xmlns:a="http://schemas.openxmlformats.org/drawingml/2006/main">
                    <a:graphicData uri="http://schemas.openxmlformats.org/drawingml/2006/picture">
                      <pic:pic xmlns:pic="http://schemas.openxmlformats.org/drawingml/2006/picture">
                        <pic:nvPicPr>
                          <pic:cNvPr id="256" name="图片 11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7497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57" name="图片 114"/>
                  <wp:cNvGraphicFramePr/>
                  <a:graphic xmlns:a="http://schemas.openxmlformats.org/drawingml/2006/main">
                    <a:graphicData uri="http://schemas.openxmlformats.org/drawingml/2006/picture">
                      <pic:pic xmlns:pic="http://schemas.openxmlformats.org/drawingml/2006/picture">
                        <pic:nvPicPr>
                          <pic:cNvPr id="257" name="图片 11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7600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58" name="图片 115"/>
                  <wp:cNvGraphicFramePr/>
                  <a:graphic xmlns:a="http://schemas.openxmlformats.org/drawingml/2006/main">
                    <a:graphicData uri="http://schemas.openxmlformats.org/drawingml/2006/picture">
                      <pic:pic xmlns:pic="http://schemas.openxmlformats.org/drawingml/2006/picture">
                        <pic:nvPicPr>
                          <pic:cNvPr id="258" name="图片 11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7702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59" name="图片 116"/>
                  <wp:cNvGraphicFramePr/>
                  <a:graphic xmlns:a="http://schemas.openxmlformats.org/drawingml/2006/main">
                    <a:graphicData uri="http://schemas.openxmlformats.org/drawingml/2006/picture">
                      <pic:pic xmlns:pic="http://schemas.openxmlformats.org/drawingml/2006/picture">
                        <pic:nvPicPr>
                          <pic:cNvPr id="259" name="图片 11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7804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60" name="图片 117"/>
                  <wp:cNvGraphicFramePr/>
                  <a:graphic xmlns:a="http://schemas.openxmlformats.org/drawingml/2006/main">
                    <a:graphicData uri="http://schemas.openxmlformats.org/drawingml/2006/picture">
                      <pic:pic xmlns:pic="http://schemas.openxmlformats.org/drawingml/2006/picture">
                        <pic:nvPicPr>
                          <pic:cNvPr id="260" name="图片 11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7907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61" name="图片 118"/>
                  <wp:cNvGraphicFramePr/>
                  <a:graphic xmlns:a="http://schemas.openxmlformats.org/drawingml/2006/main">
                    <a:graphicData uri="http://schemas.openxmlformats.org/drawingml/2006/picture">
                      <pic:pic xmlns:pic="http://schemas.openxmlformats.org/drawingml/2006/picture">
                        <pic:nvPicPr>
                          <pic:cNvPr id="261" name="图片 11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8009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62" name="图片 119"/>
                  <wp:cNvGraphicFramePr/>
                  <a:graphic xmlns:a="http://schemas.openxmlformats.org/drawingml/2006/main">
                    <a:graphicData uri="http://schemas.openxmlformats.org/drawingml/2006/picture">
                      <pic:pic xmlns:pic="http://schemas.openxmlformats.org/drawingml/2006/picture">
                        <pic:nvPicPr>
                          <pic:cNvPr id="262" name="图片 11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8112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63" name="图片 120"/>
                  <wp:cNvGraphicFramePr/>
                  <a:graphic xmlns:a="http://schemas.openxmlformats.org/drawingml/2006/main">
                    <a:graphicData uri="http://schemas.openxmlformats.org/drawingml/2006/picture">
                      <pic:pic xmlns:pic="http://schemas.openxmlformats.org/drawingml/2006/picture">
                        <pic:nvPicPr>
                          <pic:cNvPr id="263" name="图片 12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8214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64" name="图片 121"/>
                  <wp:cNvGraphicFramePr/>
                  <a:graphic xmlns:a="http://schemas.openxmlformats.org/drawingml/2006/main">
                    <a:graphicData uri="http://schemas.openxmlformats.org/drawingml/2006/picture">
                      <pic:pic xmlns:pic="http://schemas.openxmlformats.org/drawingml/2006/picture">
                        <pic:nvPicPr>
                          <pic:cNvPr id="264" name="图片 12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8316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65" name="图片 122"/>
                  <wp:cNvGraphicFramePr/>
                  <a:graphic xmlns:a="http://schemas.openxmlformats.org/drawingml/2006/main">
                    <a:graphicData uri="http://schemas.openxmlformats.org/drawingml/2006/picture">
                      <pic:pic xmlns:pic="http://schemas.openxmlformats.org/drawingml/2006/picture">
                        <pic:nvPicPr>
                          <pic:cNvPr id="265" name="图片 12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8419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66" name="图片 123"/>
                  <wp:cNvGraphicFramePr/>
                  <a:graphic xmlns:a="http://schemas.openxmlformats.org/drawingml/2006/main">
                    <a:graphicData uri="http://schemas.openxmlformats.org/drawingml/2006/picture">
                      <pic:pic xmlns:pic="http://schemas.openxmlformats.org/drawingml/2006/picture">
                        <pic:nvPicPr>
                          <pic:cNvPr id="266" name="图片 12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8521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67" name="图片 124"/>
                  <wp:cNvGraphicFramePr/>
                  <a:graphic xmlns:a="http://schemas.openxmlformats.org/drawingml/2006/main">
                    <a:graphicData uri="http://schemas.openxmlformats.org/drawingml/2006/picture">
                      <pic:pic xmlns:pic="http://schemas.openxmlformats.org/drawingml/2006/picture">
                        <pic:nvPicPr>
                          <pic:cNvPr id="267" name="图片 12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8624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68" name="图片 125"/>
                  <wp:cNvGraphicFramePr/>
                  <a:graphic xmlns:a="http://schemas.openxmlformats.org/drawingml/2006/main">
                    <a:graphicData uri="http://schemas.openxmlformats.org/drawingml/2006/picture">
                      <pic:pic xmlns:pic="http://schemas.openxmlformats.org/drawingml/2006/picture">
                        <pic:nvPicPr>
                          <pic:cNvPr id="268" name="图片 12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8726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69" name="图片 126"/>
                  <wp:cNvGraphicFramePr/>
                  <a:graphic xmlns:a="http://schemas.openxmlformats.org/drawingml/2006/main">
                    <a:graphicData uri="http://schemas.openxmlformats.org/drawingml/2006/picture">
                      <pic:pic xmlns:pic="http://schemas.openxmlformats.org/drawingml/2006/picture">
                        <pic:nvPicPr>
                          <pic:cNvPr id="269" name="图片 12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8828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70" name="图片 127"/>
                  <wp:cNvGraphicFramePr/>
                  <a:graphic xmlns:a="http://schemas.openxmlformats.org/drawingml/2006/main">
                    <a:graphicData uri="http://schemas.openxmlformats.org/drawingml/2006/picture">
                      <pic:pic xmlns:pic="http://schemas.openxmlformats.org/drawingml/2006/picture">
                        <pic:nvPicPr>
                          <pic:cNvPr id="270" name="图片 12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8931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71" name="图片 128"/>
                  <wp:cNvGraphicFramePr/>
                  <a:graphic xmlns:a="http://schemas.openxmlformats.org/drawingml/2006/main">
                    <a:graphicData uri="http://schemas.openxmlformats.org/drawingml/2006/picture">
                      <pic:pic xmlns:pic="http://schemas.openxmlformats.org/drawingml/2006/picture">
                        <pic:nvPicPr>
                          <pic:cNvPr id="271" name="图片 12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9033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72" name="图片 129"/>
                  <wp:cNvGraphicFramePr/>
                  <a:graphic xmlns:a="http://schemas.openxmlformats.org/drawingml/2006/main">
                    <a:graphicData uri="http://schemas.openxmlformats.org/drawingml/2006/picture">
                      <pic:pic xmlns:pic="http://schemas.openxmlformats.org/drawingml/2006/picture">
                        <pic:nvPicPr>
                          <pic:cNvPr id="272" name="图片 12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9136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73" name="图片 130"/>
                  <wp:cNvGraphicFramePr/>
                  <a:graphic xmlns:a="http://schemas.openxmlformats.org/drawingml/2006/main">
                    <a:graphicData uri="http://schemas.openxmlformats.org/drawingml/2006/picture">
                      <pic:pic xmlns:pic="http://schemas.openxmlformats.org/drawingml/2006/picture">
                        <pic:nvPicPr>
                          <pic:cNvPr id="273" name="图片 13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9238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74" name="图片 131"/>
                  <wp:cNvGraphicFramePr/>
                  <a:graphic xmlns:a="http://schemas.openxmlformats.org/drawingml/2006/main">
                    <a:graphicData uri="http://schemas.openxmlformats.org/drawingml/2006/picture">
                      <pic:pic xmlns:pic="http://schemas.openxmlformats.org/drawingml/2006/picture">
                        <pic:nvPicPr>
                          <pic:cNvPr id="274" name="图片 13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9340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75" name="图片 132"/>
                  <wp:cNvGraphicFramePr/>
                  <a:graphic xmlns:a="http://schemas.openxmlformats.org/drawingml/2006/main">
                    <a:graphicData uri="http://schemas.openxmlformats.org/drawingml/2006/picture">
                      <pic:pic xmlns:pic="http://schemas.openxmlformats.org/drawingml/2006/picture">
                        <pic:nvPicPr>
                          <pic:cNvPr id="275" name="图片 13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9443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76" name="图片 133"/>
                  <wp:cNvGraphicFramePr/>
                  <a:graphic xmlns:a="http://schemas.openxmlformats.org/drawingml/2006/main">
                    <a:graphicData uri="http://schemas.openxmlformats.org/drawingml/2006/picture">
                      <pic:pic xmlns:pic="http://schemas.openxmlformats.org/drawingml/2006/picture">
                        <pic:nvPicPr>
                          <pic:cNvPr id="276" name="图片 13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9545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77" name="图片 134"/>
                  <wp:cNvGraphicFramePr/>
                  <a:graphic xmlns:a="http://schemas.openxmlformats.org/drawingml/2006/main">
                    <a:graphicData uri="http://schemas.openxmlformats.org/drawingml/2006/picture">
                      <pic:pic xmlns:pic="http://schemas.openxmlformats.org/drawingml/2006/picture">
                        <pic:nvPicPr>
                          <pic:cNvPr id="277" name="图片 13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9648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78" name="图片 135"/>
                  <wp:cNvGraphicFramePr/>
                  <a:graphic xmlns:a="http://schemas.openxmlformats.org/drawingml/2006/main">
                    <a:graphicData uri="http://schemas.openxmlformats.org/drawingml/2006/picture">
                      <pic:pic xmlns:pic="http://schemas.openxmlformats.org/drawingml/2006/picture">
                        <pic:nvPicPr>
                          <pic:cNvPr id="278" name="图片 13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9750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79" name="图片 136"/>
                  <wp:cNvGraphicFramePr/>
                  <a:graphic xmlns:a="http://schemas.openxmlformats.org/drawingml/2006/main">
                    <a:graphicData uri="http://schemas.openxmlformats.org/drawingml/2006/picture">
                      <pic:pic xmlns:pic="http://schemas.openxmlformats.org/drawingml/2006/picture">
                        <pic:nvPicPr>
                          <pic:cNvPr id="279" name="图片 136"/>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9852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80" name="图片 137"/>
                  <wp:cNvGraphicFramePr/>
                  <a:graphic xmlns:a="http://schemas.openxmlformats.org/drawingml/2006/main">
                    <a:graphicData uri="http://schemas.openxmlformats.org/drawingml/2006/picture">
                      <pic:pic xmlns:pic="http://schemas.openxmlformats.org/drawingml/2006/picture">
                        <pic:nvPicPr>
                          <pic:cNvPr id="280" name="图片 137"/>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79955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81" name="图片 138"/>
                  <wp:cNvGraphicFramePr/>
                  <a:graphic xmlns:a="http://schemas.openxmlformats.org/drawingml/2006/main">
                    <a:graphicData uri="http://schemas.openxmlformats.org/drawingml/2006/picture">
                      <pic:pic xmlns:pic="http://schemas.openxmlformats.org/drawingml/2006/picture">
                        <pic:nvPicPr>
                          <pic:cNvPr id="281" name="图片 138"/>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80057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82" name="图片 139"/>
                  <wp:cNvGraphicFramePr/>
                  <a:graphic xmlns:a="http://schemas.openxmlformats.org/drawingml/2006/main">
                    <a:graphicData uri="http://schemas.openxmlformats.org/drawingml/2006/picture">
                      <pic:pic xmlns:pic="http://schemas.openxmlformats.org/drawingml/2006/picture">
                        <pic:nvPicPr>
                          <pic:cNvPr id="282" name="图片 139"/>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80160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83" name="图片 140"/>
                  <wp:cNvGraphicFramePr/>
                  <a:graphic xmlns:a="http://schemas.openxmlformats.org/drawingml/2006/main">
                    <a:graphicData uri="http://schemas.openxmlformats.org/drawingml/2006/picture">
                      <pic:pic xmlns:pic="http://schemas.openxmlformats.org/drawingml/2006/picture">
                        <pic:nvPicPr>
                          <pic:cNvPr id="283" name="图片 140"/>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802624"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84" name="图片 141"/>
                  <wp:cNvGraphicFramePr/>
                  <a:graphic xmlns:a="http://schemas.openxmlformats.org/drawingml/2006/main">
                    <a:graphicData uri="http://schemas.openxmlformats.org/drawingml/2006/picture">
                      <pic:pic xmlns:pic="http://schemas.openxmlformats.org/drawingml/2006/picture">
                        <pic:nvPicPr>
                          <pic:cNvPr id="284" name="图片 141"/>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803648"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85" name="图片 142"/>
                  <wp:cNvGraphicFramePr/>
                  <a:graphic xmlns:a="http://schemas.openxmlformats.org/drawingml/2006/main">
                    <a:graphicData uri="http://schemas.openxmlformats.org/drawingml/2006/picture">
                      <pic:pic xmlns:pic="http://schemas.openxmlformats.org/drawingml/2006/picture">
                        <pic:nvPicPr>
                          <pic:cNvPr id="285" name="图片 142"/>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804672"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86" name="图片 143"/>
                  <wp:cNvGraphicFramePr/>
                  <a:graphic xmlns:a="http://schemas.openxmlformats.org/drawingml/2006/main">
                    <a:graphicData uri="http://schemas.openxmlformats.org/drawingml/2006/picture">
                      <pic:pic xmlns:pic="http://schemas.openxmlformats.org/drawingml/2006/picture">
                        <pic:nvPicPr>
                          <pic:cNvPr id="286" name="图片 143"/>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805696"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87" name="图片 144"/>
                  <wp:cNvGraphicFramePr/>
                  <a:graphic xmlns:a="http://schemas.openxmlformats.org/drawingml/2006/main">
                    <a:graphicData uri="http://schemas.openxmlformats.org/drawingml/2006/picture">
                      <pic:pic xmlns:pic="http://schemas.openxmlformats.org/drawingml/2006/picture">
                        <pic:nvPicPr>
                          <pic:cNvPr id="287" name="图片 144"/>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806720" behindDoc="0" locked="0" layoutInCell="1" allowOverlap="1">
                  <wp:simplePos x="0" y="0"/>
                  <wp:positionH relativeFrom="column">
                    <wp:posOffset>38100</wp:posOffset>
                  </wp:positionH>
                  <wp:positionV relativeFrom="paragraph">
                    <wp:posOffset>0</wp:posOffset>
                  </wp:positionV>
                  <wp:extent cx="66675" cy="238125"/>
                  <wp:effectExtent l="0" t="0" r="0" b="0"/>
                  <wp:wrapNone/>
                  <wp:docPr id="288" name="图片 145"/>
                  <wp:cNvGraphicFramePr/>
                  <a:graphic xmlns:a="http://schemas.openxmlformats.org/drawingml/2006/main">
                    <a:graphicData uri="http://schemas.openxmlformats.org/drawingml/2006/picture">
                      <pic:pic xmlns:pic="http://schemas.openxmlformats.org/drawingml/2006/picture">
                        <pic:nvPicPr>
                          <pic:cNvPr id="288" name="图片 145"/>
                          <pic:cNvPicPr/>
                        </pic:nvPicPr>
                        <pic:blipFill>
                          <a:blip r:embed="rId5"/>
                          <a:stretch>
                            <a:fillRect/>
                          </a:stretch>
                        </pic:blipFill>
                        <pic:spPr>
                          <a:xfrm>
                            <a:off x="0" y="0"/>
                            <a:ext cx="66675" cy="23812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t xml:space="preserve">1、向录播视频系统、音频系统、显示系统提供统一的、至少八路电源管理，每路具有LED指示灯指示工作状态； </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2、支持对录播系统控制功能，实现通过控制面板一键启动录播系统相关设备的电源；</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3、支持录播系统的远程集中统一控制，≥4路通讯接口（RS-485/RS422），实现录播主机远程开关机。</w:t>
            </w:r>
          </w:p>
        </w:tc>
        <w:tc>
          <w:tcPr>
            <w:tcW w:w="230" w:type="pct"/>
            <w:tcBorders>
              <w:top w:val="single" w:color="auto" w:sz="8" w:space="0"/>
            </w:tcBorders>
            <w:vAlign w:val="center"/>
          </w:tcPr>
          <w:p w14:paraId="4F427AA1">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台</w:t>
            </w:r>
          </w:p>
        </w:tc>
        <w:tc>
          <w:tcPr>
            <w:tcW w:w="275" w:type="pct"/>
            <w:tcBorders>
              <w:top w:val="single" w:color="auto" w:sz="8" w:space="0"/>
            </w:tcBorders>
            <w:vAlign w:val="center"/>
          </w:tcPr>
          <w:p w14:paraId="0AB761B2">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4392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3A40C7CF">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2AF42D98">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扩声部分</w:t>
            </w:r>
          </w:p>
        </w:tc>
        <w:tc>
          <w:tcPr>
            <w:tcW w:w="3737" w:type="pct"/>
            <w:tcBorders>
              <w:top w:val="single" w:color="auto" w:sz="8" w:space="0"/>
            </w:tcBorders>
            <w:shd w:val="clear" w:color="auto" w:fill="FABF8F"/>
            <w:vAlign w:val="center"/>
          </w:tcPr>
          <w:p w14:paraId="5A7B5A04">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36A2582D">
            <w:pPr>
              <w:jc w:val="center"/>
              <w:rPr>
                <w:rFonts w:hint="eastAsia" w:ascii="仿宋" w:hAnsi="仿宋" w:eastAsia="仿宋" w:cs="仿宋"/>
                <w:b/>
                <w:color w:val="000000" w:themeColor="text1"/>
                <w:szCs w:val="21"/>
                <w14:textFill>
                  <w14:solidFill>
                    <w14:schemeClr w14:val="tx1"/>
                  </w14:solidFill>
                </w14:textFill>
              </w:rPr>
            </w:pPr>
          </w:p>
          <w:p w14:paraId="5A99DE0F"/>
        </w:tc>
        <w:tc>
          <w:tcPr>
            <w:tcW w:w="275" w:type="pct"/>
            <w:tcBorders>
              <w:top w:val="single" w:color="auto" w:sz="8" w:space="0"/>
            </w:tcBorders>
            <w:shd w:val="clear" w:color="auto" w:fill="FABF8F"/>
            <w:vAlign w:val="center"/>
          </w:tcPr>
          <w:p w14:paraId="53368658">
            <w:pPr>
              <w:jc w:val="center"/>
              <w:rPr>
                <w:rFonts w:hint="eastAsia" w:ascii="仿宋" w:hAnsi="仿宋" w:eastAsia="仿宋" w:cs="仿宋"/>
                <w:b/>
                <w:color w:val="000000" w:themeColor="text1"/>
                <w:szCs w:val="21"/>
                <w14:textFill>
                  <w14:solidFill>
                    <w14:schemeClr w14:val="tx1"/>
                  </w14:solidFill>
                </w14:textFill>
              </w:rPr>
            </w:pPr>
          </w:p>
        </w:tc>
      </w:tr>
      <w:tr w14:paraId="2CEE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24ED5F70">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30BC4758">
            <w:pPr>
              <w:jc w:val="center"/>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无线话筒 （1手持1头戴）</w:t>
            </w:r>
          </w:p>
        </w:tc>
        <w:tc>
          <w:tcPr>
            <w:tcW w:w="3737" w:type="pct"/>
            <w:tcBorders>
              <w:top w:val="single" w:color="auto" w:sz="8" w:space="0"/>
            </w:tcBorders>
            <w:shd w:val="clear" w:color="auto" w:fill="auto"/>
            <w:vAlign w:val="center"/>
          </w:tcPr>
          <w:p w14:paraId="1B10EEA2">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1、内置频率自动扫描功能，在LCD屏可查看实时频率干扰信号，可以在工作状态中快速搜索并锁定不受干扰的频率；</w:t>
            </w:r>
          </w:p>
          <w:p w14:paraId="275CE823">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2、自带2个独立的2英寸LCD双色液晶屏，话筒打开时是橙色，话筒静音时是红色；</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3、数字导频信号，增加主机与话筒通讯条件与检测，提高信号稳定性和防干扰功能；</w:t>
            </w:r>
          </w:p>
          <w:p w14:paraId="0BEACBDF">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4、双通道均可设置话筒自定义名称，方便舞台演出分辨话筒作用；</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5、自动锁键功能在主机1分钟内没有其他操作自动锁键，防止人为误操作；</w:t>
            </w:r>
          </w:p>
          <w:p w14:paraId="7C8DFE16">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6、主机实时显示RF无线信号强弱、AF声音电平值、话筒电量、话筒拾音状态；</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7、红外数据自动同步功能（SYNC）且单独两个SYNC按键，一键红外自动对频；</w:t>
            </w:r>
          </w:p>
          <w:p w14:paraId="0F6FF19A">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8、采取前置的飞梭旋钮设计；</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9、主机音量增益0dB至30dB可调，接收灵敏度可设置0dB至-10dB；</w:t>
            </w:r>
          </w:p>
          <w:p w14:paraId="7D2395D8">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10、采用UHF600-699MHz频段载波，内置64个预设通道，PLL锁相环回路设计；</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11、纯自动选讯(真正分集)接收设计方式，智能选取接收信号强的天线，不但接收距离远，且能消除接收断音；</w:t>
            </w:r>
          </w:p>
          <w:p w14:paraId="1515E2DC">
            <w:pPr>
              <w:widowControl/>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12、采取抗干扰双天线设计，超远100-150米的有效工作距离(可视距离)；</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13、主机采取金属外壳1U的标准机柜设计，安装方便；</w:t>
            </w:r>
          </w:p>
          <w:p w14:paraId="678A9702">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14、全中文菜单设置操作；</w:t>
            </w:r>
          </w:p>
        </w:tc>
        <w:tc>
          <w:tcPr>
            <w:tcW w:w="230" w:type="pct"/>
            <w:tcBorders>
              <w:top w:val="single" w:color="auto" w:sz="8" w:space="0"/>
            </w:tcBorders>
            <w:vAlign w:val="center"/>
          </w:tcPr>
          <w:p w14:paraId="39040387">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套</w:t>
            </w:r>
          </w:p>
        </w:tc>
        <w:tc>
          <w:tcPr>
            <w:tcW w:w="275" w:type="pct"/>
            <w:tcBorders>
              <w:top w:val="single" w:color="auto" w:sz="8" w:space="0"/>
            </w:tcBorders>
            <w:vAlign w:val="center"/>
          </w:tcPr>
          <w:p w14:paraId="01109EA2">
            <w:pPr>
              <w:jc w:val="center"/>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w:t>
            </w:r>
          </w:p>
        </w:tc>
      </w:tr>
      <w:tr w14:paraId="078A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58287F6A">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59158C25">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功放</w:t>
            </w:r>
          </w:p>
        </w:tc>
        <w:tc>
          <w:tcPr>
            <w:tcW w:w="3737" w:type="pct"/>
            <w:tcBorders>
              <w:top w:val="single" w:color="auto" w:sz="8" w:space="0"/>
            </w:tcBorders>
            <w:shd w:val="clear" w:color="auto" w:fill="auto"/>
            <w:vAlign w:val="center"/>
          </w:tcPr>
          <w:p w14:paraId="479F2823">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1、</w:t>
            </w:r>
            <w:r>
              <w:rPr>
                <w:rFonts w:hint="eastAsia" w:ascii="仿宋" w:hAnsi="仿宋" w:eastAsia="仿宋" w:cs="仿宋"/>
                <w:bCs/>
                <w:color w:val="000000" w:themeColor="text1"/>
                <w:szCs w:val="21"/>
                <w14:textFill>
                  <w14:solidFill>
                    <w14:schemeClr w14:val="tx1"/>
                  </w14:solidFill>
                </w14:textFill>
              </w:rPr>
              <w:t>输出功率：120W*2</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2、</w:t>
            </w:r>
            <w:r>
              <w:rPr>
                <w:rFonts w:hint="eastAsia" w:ascii="仿宋" w:hAnsi="仿宋" w:eastAsia="仿宋" w:cs="仿宋"/>
                <w:bCs/>
                <w:color w:val="000000" w:themeColor="text1"/>
                <w:szCs w:val="21"/>
                <w14:textFill>
                  <w14:solidFill>
                    <w14:schemeClr w14:val="tx1"/>
                  </w14:solidFill>
                </w14:textFill>
              </w:rPr>
              <w:t>输出声道：2.0</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3、</w:t>
            </w:r>
            <w:r>
              <w:rPr>
                <w:rFonts w:hint="eastAsia" w:ascii="仿宋" w:hAnsi="仿宋" w:eastAsia="仿宋" w:cs="仿宋"/>
                <w:bCs/>
                <w:color w:val="000000" w:themeColor="text1"/>
                <w:szCs w:val="21"/>
                <w14:textFill>
                  <w14:solidFill>
                    <w14:schemeClr w14:val="tx1"/>
                  </w14:solidFill>
                </w14:textFill>
              </w:rPr>
              <w:t>输出接口：4个接线柱</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4、</w:t>
            </w:r>
            <w:r>
              <w:rPr>
                <w:rFonts w:hint="eastAsia" w:ascii="仿宋" w:hAnsi="仿宋" w:eastAsia="仿宋" w:cs="仿宋"/>
                <w:bCs/>
                <w:color w:val="000000" w:themeColor="text1"/>
                <w:szCs w:val="21"/>
                <w14:textFill>
                  <w14:solidFill>
                    <w14:schemeClr w14:val="tx1"/>
                  </w14:solidFill>
                </w14:textFill>
              </w:rPr>
              <w:t>信 噪 比：≤76dB</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5、</w:t>
            </w:r>
            <w:r>
              <w:rPr>
                <w:rFonts w:hint="eastAsia" w:ascii="仿宋" w:hAnsi="仿宋" w:eastAsia="仿宋" w:cs="仿宋"/>
                <w:bCs/>
                <w:color w:val="000000" w:themeColor="text1"/>
                <w:szCs w:val="21"/>
                <w14:textFill>
                  <w14:solidFill>
                    <w14:schemeClr w14:val="tx1"/>
                  </w14:solidFill>
                </w14:textFill>
              </w:rPr>
              <w:t>机箱面板：铝合金面板+铁质烤漆机箱</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6、</w:t>
            </w:r>
            <w:r>
              <w:rPr>
                <w:rFonts w:hint="eastAsia" w:ascii="仿宋" w:hAnsi="仿宋" w:eastAsia="仿宋" w:cs="仿宋"/>
                <w:bCs/>
                <w:color w:val="000000" w:themeColor="text1"/>
                <w:szCs w:val="21"/>
                <w14:textFill>
                  <w14:solidFill>
                    <w14:schemeClr w14:val="tx1"/>
                  </w14:solidFill>
                </w14:textFill>
              </w:rPr>
              <w:t>音乐输入：4路，VCD、BGM、AUX、MP3</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7、</w:t>
            </w:r>
            <w:r>
              <w:rPr>
                <w:rFonts w:hint="eastAsia" w:ascii="仿宋" w:hAnsi="仿宋" w:eastAsia="仿宋" w:cs="仿宋"/>
                <w:bCs/>
                <w:color w:val="000000" w:themeColor="text1"/>
                <w:szCs w:val="21"/>
                <w14:textFill>
                  <w14:solidFill>
                    <w14:schemeClr w14:val="tx1"/>
                  </w14:solidFill>
                </w14:textFill>
              </w:rPr>
              <w:t>话筒输入：3路话筒口</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8、</w:t>
            </w:r>
            <w:r>
              <w:rPr>
                <w:rFonts w:hint="eastAsia" w:ascii="仿宋" w:hAnsi="仿宋" w:eastAsia="仿宋" w:cs="仿宋"/>
                <w:bCs/>
                <w:color w:val="000000" w:themeColor="text1"/>
                <w:szCs w:val="21"/>
                <w14:textFill>
                  <w14:solidFill>
                    <w14:schemeClr w14:val="tx1"/>
                  </w14:solidFill>
                </w14:textFill>
              </w:rPr>
              <w:t>话筒调节：每路增益、回声、延时、高低音、混响深度</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9、</w:t>
            </w:r>
            <w:r>
              <w:rPr>
                <w:rFonts w:hint="eastAsia" w:ascii="仿宋" w:hAnsi="仿宋" w:eastAsia="仿宋" w:cs="仿宋"/>
                <w:bCs/>
                <w:color w:val="000000" w:themeColor="text1"/>
                <w:szCs w:val="21"/>
                <w14:textFill>
                  <w14:solidFill>
                    <w14:schemeClr w14:val="tx1"/>
                  </w14:solidFill>
                </w14:textFill>
              </w:rPr>
              <w:t>后板链接：录音输出、音视频同步输出</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10、</w:t>
            </w:r>
            <w:r>
              <w:rPr>
                <w:rFonts w:hint="eastAsia" w:ascii="仿宋" w:hAnsi="仿宋" w:eastAsia="仿宋" w:cs="仿宋"/>
                <w:bCs/>
                <w:color w:val="000000" w:themeColor="text1"/>
                <w:szCs w:val="21"/>
                <w14:textFill>
                  <w14:solidFill>
                    <w14:schemeClr w14:val="tx1"/>
                  </w14:solidFill>
                </w14:textFill>
              </w:rPr>
              <w:t>功率：TOS 1942/5198</w:t>
            </w:r>
          </w:p>
        </w:tc>
        <w:tc>
          <w:tcPr>
            <w:tcW w:w="230" w:type="pct"/>
            <w:tcBorders>
              <w:top w:val="single" w:color="auto" w:sz="8" w:space="0"/>
            </w:tcBorders>
            <w:vAlign w:val="center"/>
          </w:tcPr>
          <w:p w14:paraId="5B665315">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套</w:t>
            </w:r>
          </w:p>
        </w:tc>
        <w:tc>
          <w:tcPr>
            <w:tcW w:w="275" w:type="pct"/>
            <w:tcBorders>
              <w:top w:val="single" w:color="auto" w:sz="8" w:space="0"/>
            </w:tcBorders>
            <w:vAlign w:val="center"/>
          </w:tcPr>
          <w:p w14:paraId="3B1CCADA">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r>
      <w:tr w14:paraId="539D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3C88B639">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286B55C8">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音箱</w:t>
            </w:r>
          </w:p>
        </w:tc>
        <w:tc>
          <w:tcPr>
            <w:tcW w:w="3737" w:type="pct"/>
            <w:tcBorders>
              <w:top w:val="single" w:color="auto" w:sz="8" w:space="0"/>
            </w:tcBorders>
            <w:shd w:val="clear" w:color="auto" w:fill="auto"/>
            <w:vAlign w:val="center"/>
          </w:tcPr>
          <w:p w14:paraId="447B4AF4">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1、</w:t>
            </w:r>
            <w:r>
              <w:rPr>
                <w:rFonts w:hint="eastAsia" w:ascii="仿宋" w:hAnsi="仿宋" w:eastAsia="仿宋" w:cs="仿宋"/>
                <w:bCs/>
                <w:color w:val="000000" w:themeColor="text1"/>
                <w:szCs w:val="21"/>
                <w14:textFill>
                  <w14:solidFill>
                    <w14:schemeClr w14:val="tx1"/>
                  </w14:solidFill>
                </w14:textFill>
              </w:rPr>
              <w:t>压缩驱动器：3寸纸盆高音搭配10寸低音驱动器箱体：</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2、</w:t>
            </w:r>
            <w:r>
              <w:rPr>
                <w:rFonts w:hint="eastAsia" w:ascii="仿宋" w:hAnsi="仿宋" w:eastAsia="仿宋" w:cs="仿宋"/>
                <w:bCs/>
                <w:color w:val="000000" w:themeColor="text1"/>
                <w:szCs w:val="21"/>
                <w14:textFill>
                  <w14:solidFill>
                    <w14:schemeClr w14:val="tx1"/>
                  </w14:solidFill>
                </w14:textFill>
              </w:rPr>
              <w:t>12mm中纤板；悬挂点：2x  M8；把手：无；支杆安装槽：无；网罩：钢网；</w:t>
            </w:r>
            <w:r>
              <w:rPr>
                <w:rFonts w:hint="eastAsia" w:ascii="仿宋" w:hAnsi="仿宋" w:eastAsia="仿宋" w:cs="仿宋"/>
                <w:bCs/>
                <w:color w:val="000000" w:themeColor="text1"/>
                <w:szCs w:val="21"/>
                <w:lang w:val="en-US" w:eastAsia="zh-CN"/>
                <w14:textFill>
                  <w14:solidFill>
                    <w14:schemeClr w14:val="tx1"/>
                  </w14:solidFill>
                </w14:textFill>
              </w:rPr>
              <w:t>3、</w:t>
            </w:r>
            <w:r>
              <w:rPr>
                <w:rFonts w:hint="eastAsia" w:ascii="仿宋" w:hAnsi="仿宋" w:eastAsia="仿宋" w:cs="仿宋"/>
                <w:bCs/>
                <w:color w:val="000000" w:themeColor="text1"/>
                <w:szCs w:val="21"/>
                <w14:textFill>
                  <w14:solidFill>
                    <w14:schemeClr w14:val="tx1"/>
                  </w14:solidFill>
                </w14:textFill>
              </w:rPr>
              <w:t>颜色：黑，防刮涂料；输入连接器：接线柱X2；</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4、</w:t>
            </w:r>
            <w:r>
              <w:rPr>
                <w:rFonts w:hint="eastAsia" w:ascii="仿宋" w:hAnsi="仿宋" w:eastAsia="仿宋" w:cs="仿宋"/>
                <w:bCs/>
                <w:color w:val="000000" w:themeColor="text1"/>
                <w:szCs w:val="21"/>
                <w14:textFill>
                  <w14:solidFill>
                    <w14:schemeClr w14:val="tx1"/>
                  </w14:solidFill>
                </w14:textFill>
              </w:rPr>
              <w:t>频响范围(-10dB)：65Hz-15KHz±3dB</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5、</w:t>
            </w:r>
            <w:r>
              <w:rPr>
                <w:rFonts w:hint="eastAsia" w:ascii="仿宋" w:hAnsi="仿宋" w:eastAsia="仿宋" w:cs="仿宋"/>
                <w:bCs/>
                <w:color w:val="000000" w:themeColor="text1"/>
                <w:szCs w:val="21"/>
                <w14:textFill>
                  <w14:solidFill>
                    <w14:schemeClr w14:val="tx1"/>
                  </w14:solidFill>
                </w14:textFill>
              </w:rPr>
              <w:t>最大声压级/1m：116dB</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6、</w:t>
            </w:r>
            <w:r>
              <w:rPr>
                <w:rFonts w:hint="eastAsia" w:ascii="仿宋" w:hAnsi="仿宋" w:eastAsia="仿宋" w:cs="仿宋"/>
                <w:bCs/>
                <w:color w:val="000000" w:themeColor="text1"/>
                <w:szCs w:val="21"/>
                <w14:textFill>
                  <w14:solidFill>
                    <w14:schemeClr w14:val="tx1"/>
                  </w14:solidFill>
                </w14:textFill>
              </w:rPr>
              <w:t>灵敏度：92dB</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7、</w:t>
            </w:r>
            <w:r>
              <w:rPr>
                <w:rFonts w:hint="eastAsia" w:ascii="仿宋" w:hAnsi="仿宋" w:eastAsia="仿宋" w:cs="仿宋"/>
                <w:bCs/>
                <w:color w:val="000000" w:themeColor="text1"/>
                <w:szCs w:val="21"/>
                <w14:textFill>
                  <w14:solidFill>
                    <w14:schemeClr w14:val="tx1"/>
                  </w14:solidFill>
                </w14:textFill>
              </w:rPr>
              <w:t>标称阻抗：8Ω</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8、</w:t>
            </w:r>
            <w:r>
              <w:rPr>
                <w:rFonts w:hint="eastAsia" w:ascii="仿宋" w:hAnsi="仿宋" w:eastAsia="仿宋" w:cs="仿宋"/>
                <w:bCs/>
                <w:color w:val="000000" w:themeColor="text1"/>
                <w:szCs w:val="21"/>
                <w14:textFill>
                  <w14:solidFill>
                    <w14:schemeClr w14:val="tx1"/>
                  </w14:solidFill>
                </w14:textFill>
              </w:rPr>
              <w:t>功率：150W</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lang w:val="en-US" w:eastAsia="zh-CN"/>
                <w14:textFill>
                  <w14:solidFill>
                    <w14:schemeClr w14:val="tx1"/>
                  </w14:solidFill>
                </w14:textFill>
              </w:rPr>
              <w:t>9、</w:t>
            </w:r>
            <w:r>
              <w:rPr>
                <w:rFonts w:hint="eastAsia" w:ascii="仿宋" w:hAnsi="仿宋" w:eastAsia="仿宋" w:cs="仿宋"/>
                <w:bCs/>
                <w:color w:val="000000" w:themeColor="text1"/>
                <w:szCs w:val="21"/>
                <w14:textFill>
                  <w14:solidFill>
                    <w14:schemeClr w14:val="tx1"/>
                  </w14:solidFill>
                </w14:textFill>
              </w:rPr>
              <w:t>峰值功率：200W</w:t>
            </w:r>
          </w:p>
        </w:tc>
        <w:tc>
          <w:tcPr>
            <w:tcW w:w="230" w:type="pct"/>
            <w:tcBorders>
              <w:top w:val="single" w:color="auto" w:sz="8" w:space="0"/>
            </w:tcBorders>
            <w:vAlign w:val="center"/>
          </w:tcPr>
          <w:p w14:paraId="3D69BD92">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对</w:t>
            </w:r>
          </w:p>
        </w:tc>
        <w:tc>
          <w:tcPr>
            <w:tcW w:w="275" w:type="pct"/>
            <w:tcBorders>
              <w:top w:val="single" w:color="auto" w:sz="8" w:space="0"/>
            </w:tcBorders>
            <w:vAlign w:val="center"/>
          </w:tcPr>
          <w:p w14:paraId="0E5F2A37">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r>
      <w:tr w14:paraId="171F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1F547542">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4877C5D9">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多媒体系统</w:t>
            </w:r>
          </w:p>
        </w:tc>
        <w:tc>
          <w:tcPr>
            <w:tcW w:w="3737" w:type="pct"/>
            <w:tcBorders>
              <w:top w:val="single" w:color="auto" w:sz="8" w:space="0"/>
            </w:tcBorders>
            <w:shd w:val="clear" w:color="auto" w:fill="FABF8F"/>
            <w:vAlign w:val="center"/>
          </w:tcPr>
          <w:p w14:paraId="22D15F44">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20EC4EDC">
            <w:pPr>
              <w:jc w:val="center"/>
              <w:rPr>
                <w:rFonts w:hint="eastAsia" w:ascii="仿宋" w:hAnsi="仿宋" w:eastAsia="仿宋" w:cs="仿宋"/>
                <w:b/>
                <w:color w:val="000000" w:themeColor="text1"/>
                <w:szCs w:val="21"/>
                <w14:textFill>
                  <w14:solidFill>
                    <w14:schemeClr w14:val="tx1"/>
                  </w14:solidFill>
                </w14:textFill>
              </w:rPr>
            </w:pPr>
          </w:p>
          <w:p w14:paraId="43BC84C1"/>
        </w:tc>
        <w:tc>
          <w:tcPr>
            <w:tcW w:w="275" w:type="pct"/>
            <w:tcBorders>
              <w:top w:val="single" w:color="auto" w:sz="8" w:space="0"/>
            </w:tcBorders>
            <w:shd w:val="clear" w:color="auto" w:fill="FABF8F"/>
            <w:vAlign w:val="center"/>
          </w:tcPr>
          <w:p w14:paraId="2120637B">
            <w:pPr>
              <w:jc w:val="center"/>
              <w:rPr>
                <w:rFonts w:hint="eastAsia" w:ascii="仿宋" w:hAnsi="仿宋" w:eastAsia="仿宋" w:cs="仿宋"/>
                <w:b/>
                <w:color w:val="000000" w:themeColor="text1"/>
                <w:szCs w:val="21"/>
                <w14:textFill>
                  <w14:solidFill>
                    <w14:schemeClr w14:val="tx1"/>
                  </w14:solidFill>
                </w14:textFill>
              </w:rPr>
            </w:pPr>
          </w:p>
        </w:tc>
      </w:tr>
      <w:tr w14:paraId="32C1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602473EF">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51B287B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触控一体机</w:t>
            </w:r>
          </w:p>
        </w:tc>
        <w:tc>
          <w:tcPr>
            <w:tcW w:w="3737" w:type="pct"/>
            <w:tcBorders>
              <w:top w:val="single" w:color="auto" w:sz="8" w:space="0"/>
            </w:tcBorders>
            <w:shd w:val="clear" w:color="auto" w:fill="auto"/>
            <w:vAlign w:val="center"/>
          </w:tcPr>
          <w:p w14:paraId="7A4DF911">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一、基本配置</w:t>
            </w:r>
          </w:p>
          <w:p w14:paraId="7232AC46">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屏体尺寸：86英寸，液晶LED，A规屏，显示比例(16：9)；</w:t>
            </w:r>
          </w:p>
          <w:p w14:paraId="469B1C2B">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亮度：≥350cd/cm2  ；对比度：≥5000:1</w:t>
            </w:r>
          </w:p>
          <w:p w14:paraId="18574D08">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防眩光功能：采用 4mm 厚 AG 钢化玻璃，防眩光，减少玻璃反射光的影响，反射率小于 1%；</w:t>
            </w:r>
          </w:p>
          <w:p w14:paraId="083E43AC">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触摸技术：红外感应技术，20点触控，支持安卓、windows 系统 10 笔或以上同时书写。</w:t>
            </w:r>
          </w:p>
          <w:p w14:paraId="7A7A0DBA">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 前置接口：USB3.0*≥3；Type C*≥1；Touch USB*≥1；HDMI in*≥1；</w:t>
            </w:r>
          </w:p>
          <w:p w14:paraId="2CC8D49E">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 前置≥3个USB 3.0 接口全部支持 Windows 及 Android 双系统读取，将 U 盘插入任意前置 USB 接口，均能被 Windows 及 Android 系统识别。</w:t>
            </w:r>
          </w:p>
          <w:p w14:paraId="23822E4C">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 后置接口：COAX、RJ45、Earphone、RS232、HDMI IN、TOUCH、Android USB3.0、Pubilic USB2.0、TF；</w:t>
            </w:r>
          </w:p>
          <w:p w14:paraId="7F151877">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 ≥ 7个前置按键：录屏、图像比例、音量-、音量+、设置、护眼、电源； 整机开关、电脑开关和节能待机键三合一，操作便捷；设备支持通过前置按键一键启动录屏功能，可将屏幕中显示的课件、音频等内容与老师人声同步录制，方便制作教学视频；支持OPS一键还原。</w:t>
            </w:r>
          </w:p>
          <w:p w14:paraId="3BCADE25">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 安卓系统版本11.0 或以上，内部缓存容量（RAM）：≥2GB ；内部存储容量（ROM）：≥32GB</w:t>
            </w:r>
          </w:p>
          <w:p w14:paraId="32F63233">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 内置双路 WIFI，支持 AP 热点，Wifi : 2.4GHz / AP : 2.4GHz/5GHz。</w:t>
            </w:r>
          </w:p>
          <w:p w14:paraId="521AB042">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二、OPS配置要求</w:t>
            </w:r>
          </w:p>
          <w:p w14:paraId="06287988">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1.插拔式OPS微型PC设计，采用兆芯KX-U6780A或以上、≥8GB内存、≥256G固态硬盘；开放式可插接INTEL规范接口（OPS接口），双面合计80针。</w:t>
            </w:r>
          </w:p>
          <w:p w14:paraId="16741E35">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2.支持WIFI无线网络，带双天线，带RJ45接口100M/1000Mbs。</w:t>
            </w:r>
          </w:p>
          <w:p w14:paraId="257158D2">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3.支持电源：AC input:100-240V/50-60HZ ；DC output:19V/5A。</w:t>
            </w:r>
          </w:p>
          <w:p w14:paraId="06B72CF2">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三、白板软件</w:t>
            </w:r>
          </w:p>
          <w:p w14:paraId="664FBF30">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1.基于手势操作开发，简单易用，手指单点或使用触控笔就能一键快速调取教学软件及工具。</w:t>
            </w:r>
          </w:p>
          <w:p w14:paraId="058DBD2E">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2.教学系统为教师提供易于学校管理，安全可靠的云存储空间，根据每名教师使用时长与教学资料制作频率提供个人云空间。</w:t>
            </w:r>
          </w:p>
          <w:p w14:paraId="0E136518">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3.互动教学课件支持定向精准分享：分享者可将互动课件精准推送至指定接收方账号云空间，接收方可在云空间接收并打开分享课件。支持链接方式分享，生成二维码，扫码即可获取，可以选择分享有效期等。</w:t>
            </w:r>
          </w:p>
          <w:p w14:paraId="7FE9B018">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4.上传下载一体化云存储：备课时支持将云空间中存储图片、音频、视频等素材插入课件，同时支持将课件导出保存。</w:t>
            </w:r>
          </w:p>
          <w:p w14:paraId="63656A48">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5.采用备授课一体化框架设计，教师可根据教学场景自由切换类PPT界面的备课模式与触控交互教学模式，适用于不同教学环境，便于教师教学使用。</w:t>
            </w:r>
          </w:p>
          <w:p w14:paraId="1A8F8222">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6.互动课件与教案资料相互独立，互不干扰。教师可新建课件组文件夹对教学资源进行个性化的分类与标记，便于管理。</w:t>
            </w:r>
          </w:p>
          <w:p w14:paraId="668927C3">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7.支持一键授课功能，点击一键授课即可生成授课模式书写白板。</w:t>
            </w:r>
          </w:p>
          <w:p w14:paraId="1179662A">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互动课件内容的编辑修改无需人为保存即可自动同步至云空间，可根据教师需要调整云空间自动同步的时间间隔，避免教学资源的损坏、遗失。编辑多份互动课件时，教师可一键将所有处于编辑状态的课件同步到互动课件云空间。</w:t>
            </w:r>
          </w:p>
          <w:p w14:paraId="41E2F78C">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9.备课模式下，白板内嵌国家中小学智慧教育平台，可一键进行访问。</w:t>
            </w:r>
          </w:p>
          <w:p w14:paraId="7180693E">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10.备课模式下教学系统支持PPT的原生解析，教师可将ppt课件转化为互动教学课件，导入课件保留ppt原文件中的文字、图片、表格等对象的可编辑性，并可为课件增加互动教学元素，保存生成独立格式课件。</w:t>
            </w:r>
          </w:p>
          <w:p w14:paraId="453433FF">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11.备课模式下支持替换查找：提供搜索查找替换功能，可快速查找各页面中的文字并进行替换。</w:t>
            </w:r>
          </w:p>
          <w:p w14:paraId="2F548FB1">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12.备课模式下支持多媒体素材：支持从资料夹、本地硬盘及U盘导入素材，素材格式包含图片，视频，文档等。</w:t>
            </w:r>
          </w:p>
          <w:p w14:paraId="33F57977">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13.备课模式下支持形状图表及表格：形状包含常用形状、立体图形、箭头、其他形状、线性、直线、折线、曲线等。图表包含柱状图、条形图、折线图、面积图、离散图、饼图和环形图等。并支持表格工具。</w:t>
            </w:r>
          </w:p>
          <w:p w14:paraId="103B7F09">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14.备课模式下支持思维导图：提供三种类型的思维导图。</w:t>
            </w:r>
          </w:p>
          <w:p w14:paraId="5133A769">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15.备课模式下支持课堂活动：提供连线达人、分类达人、填空达人、趣味竞赛、翻翻卡、连词成句、判断对错、比大小等多种类型的趣味互动活动。</w:t>
            </w:r>
          </w:p>
          <w:p w14:paraId="0A86FEBE">
            <w:pPr>
              <w:pStyle w:val="11"/>
              <w:rPr>
                <w:rFonts w:hint="eastAsia" w:ascii="仿宋" w:hAnsi="仿宋" w:eastAsia="宋体"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16.备课模式下支持学科工具：具有数学公式、化学方程式、元素周期表、汉字读写、题库、英</w:t>
            </w:r>
            <w:r>
              <w:rPr>
                <w:rFonts w:hint="eastAsia" w:ascii="仿宋" w:hAnsi="仿宋" w:eastAsia="仿宋" w:cs="仿宋"/>
                <w:color w:val="000000" w:themeColor="text1"/>
                <w:sz w:val="21"/>
                <w:szCs w:val="21"/>
                <w:lang w:eastAsia="zh-CN"/>
                <w14:textFill>
                  <w14:solidFill>
                    <w14:schemeClr w14:val="tx1"/>
                  </w14:solidFill>
                </w14:textFill>
              </w:rPr>
              <w:t>等</w:t>
            </w:r>
          </w:p>
        </w:tc>
        <w:tc>
          <w:tcPr>
            <w:tcW w:w="230" w:type="pct"/>
            <w:tcBorders>
              <w:top w:val="single" w:color="auto" w:sz="8" w:space="0"/>
            </w:tcBorders>
            <w:vAlign w:val="center"/>
          </w:tcPr>
          <w:p w14:paraId="28CF5181">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台</w:t>
            </w:r>
          </w:p>
        </w:tc>
        <w:tc>
          <w:tcPr>
            <w:tcW w:w="275" w:type="pct"/>
            <w:tcBorders>
              <w:top w:val="single" w:color="auto" w:sz="8" w:space="0"/>
            </w:tcBorders>
            <w:vAlign w:val="center"/>
          </w:tcPr>
          <w:p w14:paraId="1ED3E74C">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r>
      <w:tr w14:paraId="565C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7CB66488">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0B70113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视频展台</w:t>
            </w:r>
          </w:p>
        </w:tc>
        <w:tc>
          <w:tcPr>
            <w:tcW w:w="3737" w:type="pct"/>
            <w:tcBorders>
              <w:top w:val="single" w:color="auto" w:sz="8" w:space="0"/>
            </w:tcBorders>
            <w:shd w:val="clear" w:color="auto" w:fill="auto"/>
            <w:vAlign w:val="center"/>
          </w:tcPr>
          <w:p w14:paraId="0DB6EE42">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1．展台采用模块化前拆设计，不用拆卸挂箱即可更换展台，便于安装和维护。</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2．采用三折叠式开合托板，并带强磁固定纸张，打开时大于等于A4幅面，收起时小巧不占空间，所需挂墙面积小。</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3．展台使用≥800万像素，最高分辨率≥3264*2448，满足课堂演示清晰 度和流畅度的要求。</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4．箱体内嵌≥2个USB扩展口，可外接U盘或无线键鼠的接收器等设备。</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5．整机自带LED补光灯，可触摸式三级灯光调节，保证展示区域的亮度和展示效果。</w:t>
            </w:r>
          </w:p>
        </w:tc>
        <w:tc>
          <w:tcPr>
            <w:tcW w:w="230" w:type="pct"/>
            <w:tcBorders>
              <w:top w:val="single" w:color="auto" w:sz="8" w:space="0"/>
            </w:tcBorders>
            <w:vAlign w:val="center"/>
          </w:tcPr>
          <w:p w14:paraId="508A51DD">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套</w:t>
            </w:r>
          </w:p>
        </w:tc>
        <w:tc>
          <w:tcPr>
            <w:tcW w:w="275" w:type="pct"/>
            <w:tcBorders>
              <w:top w:val="single" w:color="auto" w:sz="8" w:space="0"/>
            </w:tcBorders>
            <w:vAlign w:val="center"/>
          </w:tcPr>
          <w:p w14:paraId="0E6B8999">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r>
      <w:tr w14:paraId="42B8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16D3BC7C">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5F762D0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讲台</w:t>
            </w:r>
          </w:p>
        </w:tc>
        <w:tc>
          <w:tcPr>
            <w:tcW w:w="3737" w:type="pct"/>
            <w:tcBorders>
              <w:top w:val="single" w:color="auto" w:sz="8" w:space="0"/>
            </w:tcBorders>
            <w:shd w:val="clear" w:color="auto" w:fill="auto"/>
            <w:vAlign w:val="center"/>
          </w:tcPr>
          <w:p w14:paraId="3D23114B">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1、讲台尺寸：至少为1130mm*800mm*980mm</w:t>
            </w:r>
          </w:p>
          <w:p w14:paraId="64F8AFE8">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讲桌采用钢木结合构造一体成型，实木扶手，桌面木质耐划台面，全封闭式结构。桌体上部分采用圆弧设计,讲台整体设计符合人体力学原理。工艺：脱脂、磷化、静电喷塑、溜平固化，重点部位须采用一次冲压成型技术；所有钣金部分均采用激光切割加工，所有尖角倒圆角不小于R3，保证使用者和维护者不划伤。盖门采取翻转方式，更加人性化的设计，解决了以往盖门沉重，女教师及年老教师开门比较困难的问题。</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3、合理的尺寸设计，合理的设备安排，后背门设有带锁检修门，真正做到防盗功能。</w:t>
            </w:r>
          </w:p>
        </w:tc>
        <w:tc>
          <w:tcPr>
            <w:tcW w:w="230" w:type="pct"/>
            <w:tcBorders>
              <w:top w:val="single" w:color="auto" w:sz="8" w:space="0"/>
            </w:tcBorders>
            <w:vAlign w:val="center"/>
          </w:tcPr>
          <w:p w14:paraId="1AF94F6F">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套</w:t>
            </w:r>
          </w:p>
        </w:tc>
        <w:tc>
          <w:tcPr>
            <w:tcW w:w="275" w:type="pct"/>
            <w:tcBorders>
              <w:top w:val="single" w:color="auto" w:sz="8" w:space="0"/>
            </w:tcBorders>
            <w:vAlign w:val="center"/>
          </w:tcPr>
          <w:p w14:paraId="4197A7ED">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r>
      <w:tr w14:paraId="4903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47107A3F">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53C5C3C4">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显示视频部分</w:t>
            </w:r>
          </w:p>
        </w:tc>
        <w:tc>
          <w:tcPr>
            <w:tcW w:w="3737" w:type="pct"/>
            <w:tcBorders>
              <w:top w:val="single" w:color="auto" w:sz="8" w:space="0"/>
            </w:tcBorders>
            <w:shd w:val="clear" w:color="auto" w:fill="FABF8F"/>
            <w:vAlign w:val="center"/>
          </w:tcPr>
          <w:p w14:paraId="5464C2F6">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6EE7C8C0">
            <w:pPr>
              <w:jc w:val="center"/>
              <w:rPr>
                <w:rFonts w:hint="eastAsia" w:ascii="仿宋" w:hAnsi="仿宋" w:eastAsia="仿宋" w:cs="仿宋"/>
                <w:b/>
                <w:color w:val="000000" w:themeColor="text1"/>
                <w:szCs w:val="21"/>
                <w14:textFill>
                  <w14:solidFill>
                    <w14:schemeClr w14:val="tx1"/>
                  </w14:solidFill>
                </w14:textFill>
              </w:rPr>
            </w:pPr>
          </w:p>
        </w:tc>
        <w:tc>
          <w:tcPr>
            <w:tcW w:w="275" w:type="pct"/>
            <w:tcBorders>
              <w:top w:val="single" w:color="auto" w:sz="8" w:space="0"/>
            </w:tcBorders>
            <w:shd w:val="clear" w:color="auto" w:fill="FABF8F"/>
            <w:vAlign w:val="center"/>
          </w:tcPr>
          <w:p w14:paraId="7635A8CE">
            <w:pPr>
              <w:jc w:val="center"/>
              <w:rPr>
                <w:rFonts w:hint="eastAsia" w:ascii="仿宋" w:hAnsi="仿宋" w:eastAsia="仿宋" w:cs="仿宋"/>
                <w:b/>
                <w:color w:val="000000" w:themeColor="text1"/>
                <w:szCs w:val="21"/>
                <w14:textFill>
                  <w14:solidFill>
                    <w14:schemeClr w14:val="tx1"/>
                  </w14:solidFill>
                </w14:textFill>
              </w:rPr>
            </w:pPr>
          </w:p>
        </w:tc>
      </w:tr>
      <w:tr w14:paraId="6FA4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55E94681">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0BBE6708">
            <w:pPr>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65寸一体机</w:t>
            </w:r>
          </w:p>
        </w:tc>
        <w:tc>
          <w:tcPr>
            <w:tcW w:w="3737" w:type="pct"/>
            <w:tcBorders>
              <w:top w:val="single" w:color="auto" w:sz="8" w:space="0"/>
            </w:tcBorders>
            <w:shd w:val="clear" w:color="auto" w:fill="auto"/>
            <w:vAlign w:val="center"/>
          </w:tcPr>
          <w:p w14:paraId="67992F79">
            <w:pPr>
              <w:pStyle w:val="12"/>
              <w:widowControl/>
              <w:spacing w:after="0"/>
              <w:ind w:firstLine="0" w:firstLineChars="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 屏体尺寸：65英寸，液晶LED，A规屏，显示比例(16：9)；</w:t>
            </w:r>
          </w:p>
          <w:p w14:paraId="313F5C2B">
            <w:pPr>
              <w:pStyle w:val="12"/>
              <w:widowControl/>
              <w:spacing w:after="0"/>
              <w:ind w:firstLine="0" w:firstLineChars="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 亮度：≥350cd/cm2  ；对比度：≥5000:1</w:t>
            </w:r>
          </w:p>
          <w:p w14:paraId="0911CA2F">
            <w:pPr>
              <w:pStyle w:val="12"/>
              <w:widowControl/>
              <w:spacing w:after="0"/>
              <w:ind w:firstLine="0" w:firstLineChars="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 防眩光功能：采用 4mm 厚 AG 钢化玻璃，防眩光，减少玻璃反射光的影响，反射率小于 1%；</w:t>
            </w:r>
          </w:p>
          <w:p w14:paraId="0E28C945">
            <w:pPr>
              <w:pStyle w:val="12"/>
              <w:widowControl/>
              <w:spacing w:after="0"/>
              <w:ind w:firstLine="0" w:firstLineChars="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 触摸技术：红外感应技术，20点触控，支持安卓、windows 系统 10 笔或以上同时书写。</w:t>
            </w:r>
          </w:p>
          <w:p w14:paraId="6733BBAB">
            <w:pPr>
              <w:widowControl/>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5. 前置接口：USB3.0*3；Type C*1；Touch USB*1；HDMI in*1； </w:t>
            </w:r>
          </w:p>
          <w:p w14:paraId="0F8FEC6D">
            <w:pPr>
              <w:widowControl/>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 前置3个USB 3.0 接口全部支持 Windows 及 Android 双系统读取，将 U 盘插入任意前置 USB 接口，均能被 Windows 及 Android 系统识别。</w:t>
            </w:r>
          </w:p>
          <w:p w14:paraId="0D0BE5FE">
            <w:pPr>
              <w:pStyle w:val="12"/>
              <w:widowControl/>
              <w:spacing w:after="0"/>
              <w:ind w:firstLine="0" w:firstLineChars="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 后置接口：COAX、RJ45、Earphone、RS232、HDMI IN、TOUCH、Android USB3.0、Pubilic USB2.0、TF</w:t>
            </w:r>
          </w:p>
          <w:p w14:paraId="49F68F25">
            <w:pPr>
              <w:widowControl/>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 7个前置按键：录屏、图像比例、音量-、音量+、设置、护眼、电源； 整机开关、电脑开关和节能待机键三合一，操作便捷；设备支持通过前置按键一键启动录屏功能，可将屏幕中显示的课件、音频等内容与老师人声同步录制，方便制作教学视频；支持OPS一键还原。</w:t>
            </w:r>
          </w:p>
          <w:p w14:paraId="007E3733">
            <w:pPr>
              <w:pStyle w:val="12"/>
              <w:widowControl/>
              <w:spacing w:after="0"/>
              <w:ind w:firstLine="0" w:firstLineChars="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 安卓系统版本11.0 或以上，内部缓存容量（RAM）：2GB ；内部存储容量（ROM）：32GB</w:t>
            </w:r>
          </w:p>
          <w:p w14:paraId="34675814">
            <w:pPr>
              <w:pStyle w:val="12"/>
              <w:widowControl/>
              <w:spacing w:after="0"/>
              <w:ind w:firstLine="0" w:firstLineChars="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 内置双路 WIFI，支持 AP 热点，Wifi : 2.4GHz / AP : 2.4GHz/5GHz。</w:t>
            </w:r>
          </w:p>
          <w:p w14:paraId="422FCA56">
            <w:pPr>
              <w:pStyle w:val="12"/>
              <w:widowControl/>
              <w:spacing w:after="0"/>
              <w:ind w:firstLine="0" w:firstLineChars="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11.摄像头及麦克风：可根据要求配备≥1300 万像素摄像头及8阵列麦克风；</w:t>
            </w:r>
          </w:p>
        </w:tc>
        <w:tc>
          <w:tcPr>
            <w:tcW w:w="230" w:type="pct"/>
            <w:tcBorders>
              <w:top w:val="single" w:color="auto" w:sz="8" w:space="0"/>
            </w:tcBorders>
            <w:vAlign w:val="center"/>
          </w:tcPr>
          <w:p w14:paraId="0257AF81">
            <w:pPr>
              <w:jc w:val="center"/>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台</w:t>
            </w:r>
          </w:p>
        </w:tc>
        <w:tc>
          <w:tcPr>
            <w:tcW w:w="275" w:type="pct"/>
            <w:tcBorders>
              <w:top w:val="single" w:color="auto" w:sz="8" w:space="0"/>
            </w:tcBorders>
            <w:vAlign w:val="center"/>
          </w:tcPr>
          <w:p w14:paraId="216114A7">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r>
      <w:tr w14:paraId="19E2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347EFE01">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6E41ACAB">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LED条屏幕</w:t>
            </w:r>
          </w:p>
        </w:tc>
        <w:tc>
          <w:tcPr>
            <w:tcW w:w="3737" w:type="pct"/>
            <w:tcBorders>
              <w:top w:val="single" w:color="auto" w:sz="8" w:space="0"/>
            </w:tcBorders>
            <w:shd w:val="clear" w:color="auto" w:fill="auto"/>
            <w:vAlign w:val="center"/>
          </w:tcPr>
          <w:p w14:paraId="7C30E589">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显示尺寸：≥宽5.12m*高0.32m；</w:t>
            </w:r>
          </w:p>
          <w:p w14:paraId="4BDDD294">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像素间距：≤10mm；</w:t>
            </w:r>
            <w:r>
              <w:rPr>
                <w:rFonts w:hint="eastAsia" w:ascii="仿宋" w:hAnsi="仿宋" w:eastAsia="仿宋" w:cs="仿宋"/>
                <w:color w:val="000000" w:themeColor="text1"/>
                <w:sz w:val="21"/>
                <w:szCs w:val="21"/>
                <w:shd w:val="clear" w:color="auto" w:fill="FFFFFF"/>
                <w14:textFill>
                  <w14:solidFill>
                    <w14:schemeClr w14:val="tx1"/>
                  </w14:solidFill>
                </w14:textFill>
              </w:rPr>
              <w:t>单元板分辨率：32*16 单元板尺寸：</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shd w:val="clear" w:color="auto" w:fill="FFFFFF"/>
                <w14:textFill>
                  <w14:solidFill>
                    <w14:schemeClr w14:val="tx1"/>
                  </w14:solidFill>
                </w14:textFill>
              </w:rPr>
              <w:t>320*160mm</w:t>
            </w:r>
          </w:p>
          <w:p w14:paraId="19CD1EAC">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像素密度：≥10000点/㎡</w:t>
            </w:r>
          </w:p>
          <w:p w14:paraId="123D4785">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发光点颜色组合 :1R;</w:t>
            </w:r>
          </w:p>
          <w:p w14:paraId="544FDE15">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显示屏视角:左右≥110°；</w:t>
            </w:r>
          </w:p>
        </w:tc>
        <w:tc>
          <w:tcPr>
            <w:tcW w:w="230" w:type="pct"/>
            <w:tcBorders>
              <w:top w:val="single" w:color="auto" w:sz="8" w:space="0"/>
            </w:tcBorders>
            <w:vAlign w:val="center"/>
          </w:tcPr>
          <w:p w14:paraId="53865ABD">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平方</w:t>
            </w:r>
          </w:p>
        </w:tc>
        <w:tc>
          <w:tcPr>
            <w:tcW w:w="275" w:type="pct"/>
            <w:tcBorders>
              <w:top w:val="single" w:color="auto" w:sz="8" w:space="0"/>
            </w:tcBorders>
            <w:vAlign w:val="center"/>
          </w:tcPr>
          <w:p w14:paraId="5A73BA85">
            <w:pPr>
              <w:jc w:val="center"/>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1.6</w:t>
            </w:r>
          </w:p>
        </w:tc>
      </w:tr>
      <w:tr w14:paraId="7438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3523481B">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22982D03">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平板电视</w:t>
            </w:r>
          </w:p>
        </w:tc>
        <w:tc>
          <w:tcPr>
            <w:tcW w:w="3737" w:type="pct"/>
            <w:tcBorders>
              <w:top w:val="single" w:color="auto" w:sz="8" w:space="0"/>
            </w:tcBorders>
            <w:shd w:val="clear" w:color="auto" w:fill="auto"/>
            <w:vAlign w:val="center"/>
          </w:tcPr>
          <w:p w14:paraId="26DA9652">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1、</w:t>
            </w:r>
            <w:r>
              <w:rPr>
                <w:rFonts w:hint="eastAsia" w:ascii="仿宋" w:hAnsi="仿宋" w:eastAsia="仿宋" w:cs="仿宋"/>
                <w:bCs/>
                <w:color w:val="000000" w:themeColor="text1"/>
                <w:kern w:val="0"/>
                <w:szCs w:val="21"/>
                <w14:textFill>
                  <w14:solidFill>
                    <w14:schemeClr w14:val="tx1"/>
                  </w14:solidFill>
                </w14:textFill>
              </w:rPr>
              <w:t>屏幕分辨率：4K，55英寸</w:t>
            </w:r>
            <w:r>
              <w:rPr>
                <w:rFonts w:hint="eastAsia" w:ascii="仿宋" w:hAnsi="仿宋" w:eastAsia="仿宋" w:cs="仿宋"/>
                <w:bCs/>
                <w:color w:val="000000" w:themeColor="text1"/>
                <w:kern w:val="0"/>
                <w:szCs w:val="21"/>
                <w14:textFill>
                  <w14:solidFill>
                    <w14:schemeClr w14:val="tx1"/>
                  </w14:solidFill>
                </w14:textFill>
              </w:rPr>
              <w:br w:type="textWrapping"/>
            </w:r>
            <w:r>
              <w:rPr>
                <w:rFonts w:hint="eastAsia" w:ascii="仿宋" w:hAnsi="仿宋" w:eastAsia="仿宋" w:cs="仿宋"/>
                <w:bCs/>
                <w:color w:val="000000" w:themeColor="text1"/>
                <w:kern w:val="0"/>
                <w:szCs w:val="21"/>
                <w:lang w:val="en-US" w:eastAsia="zh-CN"/>
                <w14:textFill>
                  <w14:solidFill>
                    <w14:schemeClr w14:val="tx1"/>
                  </w14:solidFill>
                </w14:textFill>
              </w:rPr>
              <w:t>2、</w:t>
            </w:r>
            <w:r>
              <w:rPr>
                <w:rFonts w:hint="eastAsia" w:ascii="仿宋" w:hAnsi="仿宋" w:eastAsia="仿宋" w:cs="仿宋"/>
                <w:bCs/>
                <w:color w:val="000000" w:themeColor="text1"/>
                <w:kern w:val="0"/>
                <w:szCs w:val="21"/>
                <w14:textFill>
                  <w14:solidFill>
                    <w14:schemeClr w14:val="tx1"/>
                  </w14:solidFill>
                </w14:textFill>
              </w:rPr>
              <w:t>亮度：600cd/m2</w:t>
            </w:r>
            <w:r>
              <w:rPr>
                <w:rFonts w:hint="eastAsia" w:ascii="仿宋" w:hAnsi="仿宋" w:eastAsia="仿宋" w:cs="仿宋"/>
                <w:bCs/>
                <w:color w:val="000000" w:themeColor="text1"/>
                <w:kern w:val="0"/>
                <w:szCs w:val="21"/>
                <w14:textFill>
                  <w14:solidFill>
                    <w14:schemeClr w14:val="tx1"/>
                  </w14:solidFill>
                </w14:textFill>
              </w:rPr>
              <w:br w:type="textWrapping"/>
            </w:r>
            <w:r>
              <w:rPr>
                <w:rFonts w:hint="eastAsia" w:ascii="仿宋" w:hAnsi="仿宋" w:eastAsia="仿宋" w:cs="仿宋"/>
                <w:bCs/>
                <w:color w:val="000000" w:themeColor="text1"/>
                <w:kern w:val="0"/>
                <w:szCs w:val="21"/>
                <w:lang w:val="en-US" w:eastAsia="zh-CN"/>
                <w14:textFill>
                  <w14:solidFill>
                    <w14:schemeClr w14:val="tx1"/>
                  </w14:solidFill>
                </w14:textFill>
              </w:rPr>
              <w:t>3、</w:t>
            </w:r>
            <w:r>
              <w:rPr>
                <w:rFonts w:hint="eastAsia" w:ascii="仿宋" w:hAnsi="仿宋" w:eastAsia="仿宋" w:cs="仿宋"/>
                <w:bCs/>
                <w:color w:val="000000" w:themeColor="text1"/>
                <w:kern w:val="0"/>
                <w:szCs w:val="21"/>
                <w14:textFill>
                  <w14:solidFill>
                    <w14:schemeClr w14:val="tx1"/>
                  </w14:solidFill>
                </w14:textFill>
              </w:rPr>
              <w:t>屏幕比例：16:9</w:t>
            </w:r>
            <w:r>
              <w:rPr>
                <w:rFonts w:hint="eastAsia" w:ascii="仿宋" w:hAnsi="仿宋" w:eastAsia="仿宋" w:cs="仿宋"/>
                <w:bCs/>
                <w:color w:val="000000" w:themeColor="text1"/>
                <w:kern w:val="0"/>
                <w:szCs w:val="21"/>
                <w14:textFill>
                  <w14:solidFill>
                    <w14:schemeClr w14:val="tx1"/>
                  </w14:solidFill>
                </w14:textFill>
              </w:rPr>
              <w:br w:type="textWrapping"/>
            </w:r>
            <w:r>
              <w:rPr>
                <w:rFonts w:hint="eastAsia" w:ascii="仿宋" w:hAnsi="仿宋" w:eastAsia="仿宋" w:cs="仿宋"/>
                <w:bCs/>
                <w:color w:val="000000" w:themeColor="text1"/>
                <w:kern w:val="0"/>
                <w:szCs w:val="21"/>
                <w:lang w:val="en-US" w:eastAsia="zh-CN"/>
                <w14:textFill>
                  <w14:solidFill>
                    <w14:schemeClr w14:val="tx1"/>
                  </w14:solidFill>
                </w14:textFill>
              </w:rPr>
              <w:t>4、</w:t>
            </w:r>
            <w:r>
              <w:rPr>
                <w:rFonts w:hint="eastAsia" w:ascii="仿宋" w:hAnsi="仿宋" w:eastAsia="仿宋" w:cs="仿宋"/>
                <w:bCs/>
                <w:color w:val="000000" w:themeColor="text1"/>
                <w:kern w:val="0"/>
                <w:szCs w:val="21"/>
                <w14:textFill>
                  <w14:solidFill>
                    <w14:schemeClr w14:val="tx1"/>
                  </w14:solidFill>
                </w14:textFill>
              </w:rPr>
              <w:t>刷屏率：60HZ</w:t>
            </w:r>
            <w:r>
              <w:rPr>
                <w:rFonts w:hint="eastAsia" w:ascii="仿宋" w:hAnsi="仿宋" w:eastAsia="仿宋" w:cs="仿宋"/>
                <w:bCs/>
                <w:color w:val="000000" w:themeColor="text1"/>
                <w:kern w:val="0"/>
                <w:szCs w:val="21"/>
                <w14:textFill>
                  <w14:solidFill>
                    <w14:schemeClr w14:val="tx1"/>
                  </w14:solidFill>
                </w14:textFill>
              </w:rPr>
              <w:br w:type="textWrapping"/>
            </w:r>
            <w:r>
              <w:rPr>
                <w:rFonts w:hint="eastAsia" w:ascii="仿宋" w:hAnsi="仿宋" w:eastAsia="仿宋" w:cs="仿宋"/>
                <w:bCs/>
                <w:color w:val="000000" w:themeColor="text1"/>
                <w:kern w:val="0"/>
                <w:szCs w:val="21"/>
                <w:lang w:val="en-US" w:eastAsia="zh-CN"/>
                <w14:textFill>
                  <w14:solidFill>
                    <w14:schemeClr w14:val="tx1"/>
                  </w14:solidFill>
                </w14:textFill>
              </w:rPr>
              <w:t>5、</w:t>
            </w:r>
            <w:r>
              <w:rPr>
                <w:rFonts w:hint="eastAsia" w:ascii="仿宋" w:hAnsi="仿宋" w:eastAsia="仿宋" w:cs="仿宋"/>
                <w:bCs/>
                <w:color w:val="000000" w:themeColor="text1"/>
                <w:kern w:val="0"/>
                <w:szCs w:val="21"/>
                <w14:textFill>
                  <w14:solidFill>
                    <w14:schemeClr w14:val="tx1"/>
                  </w14:solidFill>
                </w14:textFill>
              </w:rPr>
              <w:t>背光源：直下式LED</w:t>
            </w:r>
            <w:r>
              <w:rPr>
                <w:rFonts w:hint="eastAsia" w:ascii="仿宋" w:hAnsi="仿宋" w:eastAsia="仿宋" w:cs="仿宋"/>
                <w:bCs/>
                <w:color w:val="000000" w:themeColor="text1"/>
                <w:kern w:val="0"/>
                <w:szCs w:val="21"/>
                <w14:textFill>
                  <w14:solidFill>
                    <w14:schemeClr w14:val="tx1"/>
                  </w14:solidFill>
                </w14:textFill>
              </w:rPr>
              <w:br w:type="textWrapping"/>
            </w:r>
            <w:r>
              <w:rPr>
                <w:rFonts w:hint="eastAsia" w:ascii="仿宋" w:hAnsi="仿宋" w:eastAsia="仿宋" w:cs="仿宋"/>
                <w:bCs/>
                <w:color w:val="000000" w:themeColor="text1"/>
                <w:kern w:val="0"/>
                <w:szCs w:val="21"/>
                <w:lang w:val="en-US" w:eastAsia="zh-CN"/>
                <w14:textFill>
                  <w14:solidFill>
                    <w14:schemeClr w14:val="tx1"/>
                  </w14:solidFill>
                </w14:textFill>
              </w:rPr>
              <w:t>6、</w:t>
            </w:r>
            <w:r>
              <w:rPr>
                <w:rFonts w:hint="eastAsia" w:ascii="仿宋" w:hAnsi="仿宋" w:eastAsia="仿宋" w:cs="仿宋"/>
                <w:bCs/>
                <w:color w:val="000000" w:themeColor="text1"/>
                <w:kern w:val="0"/>
                <w:szCs w:val="21"/>
                <w14:textFill>
                  <w14:solidFill>
                    <w14:schemeClr w14:val="tx1"/>
                  </w14:solidFill>
                </w14:textFill>
              </w:rPr>
              <w:t>扫描方式：逐行扫描</w:t>
            </w:r>
            <w:r>
              <w:rPr>
                <w:rFonts w:hint="eastAsia" w:ascii="仿宋" w:hAnsi="仿宋" w:eastAsia="仿宋" w:cs="仿宋"/>
                <w:bCs/>
                <w:color w:val="000000" w:themeColor="text1"/>
                <w:kern w:val="0"/>
                <w:szCs w:val="21"/>
                <w14:textFill>
                  <w14:solidFill>
                    <w14:schemeClr w14:val="tx1"/>
                  </w14:solidFill>
                </w14:textFill>
              </w:rPr>
              <w:br w:type="textWrapping"/>
            </w:r>
            <w:r>
              <w:rPr>
                <w:rFonts w:hint="eastAsia" w:ascii="仿宋" w:hAnsi="仿宋" w:eastAsia="仿宋" w:cs="仿宋"/>
                <w:bCs/>
                <w:color w:val="000000" w:themeColor="text1"/>
                <w:kern w:val="0"/>
                <w:szCs w:val="21"/>
                <w:lang w:val="en-US" w:eastAsia="zh-CN"/>
                <w14:textFill>
                  <w14:solidFill>
                    <w14:schemeClr w14:val="tx1"/>
                  </w14:solidFill>
                </w14:textFill>
              </w:rPr>
              <w:t>7、</w:t>
            </w:r>
            <w:r>
              <w:rPr>
                <w:rFonts w:hint="eastAsia" w:ascii="仿宋" w:hAnsi="仿宋" w:eastAsia="仿宋" w:cs="仿宋"/>
                <w:bCs/>
                <w:color w:val="000000" w:themeColor="text1"/>
                <w:kern w:val="0"/>
                <w:szCs w:val="21"/>
                <w14:textFill>
                  <w14:solidFill>
                    <w14:schemeClr w14:val="tx1"/>
                  </w14:solidFill>
                </w14:textFill>
              </w:rPr>
              <w:t>响应时间：8.5ms</w:t>
            </w:r>
            <w:r>
              <w:rPr>
                <w:rFonts w:hint="eastAsia" w:ascii="仿宋" w:hAnsi="仿宋" w:eastAsia="仿宋" w:cs="仿宋"/>
                <w:bCs/>
                <w:color w:val="000000" w:themeColor="text1"/>
                <w:kern w:val="0"/>
                <w:szCs w:val="21"/>
                <w14:textFill>
                  <w14:solidFill>
                    <w14:schemeClr w14:val="tx1"/>
                  </w14:solidFill>
                </w14:textFill>
              </w:rPr>
              <w:br w:type="textWrapping"/>
            </w:r>
            <w:r>
              <w:rPr>
                <w:rFonts w:hint="eastAsia" w:ascii="仿宋" w:hAnsi="仿宋" w:eastAsia="仿宋" w:cs="仿宋"/>
                <w:bCs/>
                <w:color w:val="000000" w:themeColor="text1"/>
                <w:kern w:val="0"/>
                <w:szCs w:val="21"/>
                <w:lang w:val="en-US" w:eastAsia="zh-CN"/>
                <w14:textFill>
                  <w14:solidFill>
                    <w14:schemeClr w14:val="tx1"/>
                  </w14:solidFill>
                </w14:textFill>
              </w:rPr>
              <w:t>8、</w:t>
            </w:r>
            <w:r>
              <w:rPr>
                <w:rFonts w:hint="eastAsia" w:ascii="仿宋" w:hAnsi="仿宋" w:eastAsia="仿宋" w:cs="仿宋"/>
                <w:bCs/>
                <w:color w:val="000000" w:themeColor="text1"/>
                <w:kern w:val="0"/>
                <w:szCs w:val="21"/>
                <w14:textFill>
                  <w14:solidFill>
                    <w14:schemeClr w14:val="tx1"/>
                  </w14:solidFill>
                </w14:textFill>
              </w:rPr>
              <w:t>支持格式（高清：1080p/1080i/720p</w:t>
            </w:r>
          </w:p>
        </w:tc>
        <w:tc>
          <w:tcPr>
            <w:tcW w:w="230" w:type="pct"/>
            <w:tcBorders>
              <w:top w:val="single" w:color="auto" w:sz="8" w:space="0"/>
            </w:tcBorders>
            <w:vAlign w:val="center"/>
          </w:tcPr>
          <w:p w14:paraId="132FD54E">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台</w:t>
            </w:r>
          </w:p>
        </w:tc>
        <w:tc>
          <w:tcPr>
            <w:tcW w:w="275" w:type="pct"/>
            <w:tcBorders>
              <w:top w:val="single" w:color="auto" w:sz="8" w:space="0"/>
            </w:tcBorders>
            <w:vAlign w:val="center"/>
          </w:tcPr>
          <w:p w14:paraId="38B69B91">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r>
      <w:tr w14:paraId="0AC8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28AD93F8">
            <w:pPr>
              <w:numPr>
                <w:ilvl w:val="-1"/>
                <w:numId w:val="0"/>
              </w:numPr>
              <w:snapToGrid w:val="0"/>
              <w:jc w:val="both"/>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7DC88C50">
            <w:pPr>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配套辅材部分</w:t>
            </w:r>
          </w:p>
        </w:tc>
        <w:tc>
          <w:tcPr>
            <w:tcW w:w="3737" w:type="pct"/>
            <w:tcBorders>
              <w:top w:val="single" w:color="auto" w:sz="8" w:space="0"/>
            </w:tcBorders>
            <w:shd w:val="clear" w:color="auto" w:fill="FABF8F"/>
            <w:vAlign w:val="center"/>
          </w:tcPr>
          <w:p w14:paraId="65315627">
            <w:pPr>
              <w:jc w:val="left"/>
              <w:rPr>
                <w:rFonts w:hint="eastAsia" w:ascii="仿宋" w:hAnsi="仿宋" w:eastAsia="仿宋" w:cs="仿宋"/>
                <w:bCs/>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0962BCC9">
            <w:pPr>
              <w:jc w:val="center"/>
              <w:rPr>
                <w:rFonts w:hint="eastAsia" w:ascii="仿宋" w:hAnsi="仿宋" w:eastAsia="仿宋" w:cs="仿宋"/>
                <w:bCs/>
                <w:color w:val="000000" w:themeColor="text1"/>
                <w:szCs w:val="21"/>
                <w14:textFill>
                  <w14:solidFill>
                    <w14:schemeClr w14:val="tx1"/>
                  </w14:solidFill>
                </w14:textFill>
              </w:rPr>
            </w:pPr>
          </w:p>
          <w:p w14:paraId="2A192B26"/>
        </w:tc>
        <w:tc>
          <w:tcPr>
            <w:tcW w:w="275" w:type="pct"/>
            <w:tcBorders>
              <w:top w:val="single" w:color="auto" w:sz="8" w:space="0"/>
            </w:tcBorders>
            <w:shd w:val="clear" w:color="auto" w:fill="FABF8F"/>
            <w:vAlign w:val="center"/>
          </w:tcPr>
          <w:p w14:paraId="72F0AA8B">
            <w:pPr>
              <w:jc w:val="center"/>
              <w:rPr>
                <w:rFonts w:hint="eastAsia" w:ascii="仿宋" w:hAnsi="仿宋" w:eastAsia="仿宋" w:cs="仿宋"/>
                <w:bCs/>
                <w:color w:val="000000" w:themeColor="text1"/>
                <w:szCs w:val="21"/>
                <w14:textFill>
                  <w14:solidFill>
                    <w14:schemeClr w14:val="tx1"/>
                  </w14:solidFill>
                </w14:textFill>
              </w:rPr>
            </w:pPr>
          </w:p>
        </w:tc>
      </w:tr>
      <w:tr w14:paraId="0F88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77489B3E">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23263511">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导播桌</w:t>
            </w:r>
          </w:p>
        </w:tc>
        <w:tc>
          <w:tcPr>
            <w:tcW w:w="3737" w:type="pct"/>
            <w:tcBorders>
              <w:top w:val="single" w:color="auto" w:sz="8" w:space="0"/>
            </w:tcBorders>
            <w:shd w:val="clear" w:color="auto" w:fill="auto"/>
            <w:vAlign w:val="center"/>
          </w:tcPr>
          <w:p w14:paraId="49758319">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尺寸约为1200*750*650mm，刨花板/三聚氰胺板，配套两张电脑椅</w:t>
            </w:r>
          </w:p>
        </w:tc>
        <w:tc>
          <w:tcPr>
            <w:tcW w:w="230" w:type="pct"/>
            <w:tcBorders>
              <w:top w:val="single" w:color="auto" w:sz="8" w:space="0"/>
            </w:tcBorders>
            <w:vAlign w:val="center"/>
          </w:tcPr>
          <w:p w14:paraId="18A11B74">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套</w:t>
            </w:r>
          </w:p>
        </w:tc>
        <w:tc>
          <w:tcPr>
            <w:tcW w:w="275" w:type="pct"/>
            <w:tcBorders>
              <w:top w:val="single" w:color="auto" w:sz="8" w:space="0"/>
            </w:tcBorders>
            <w:vAlign w:val="center"/>
          </w:tcPr>
          <w:p w14:paraId="23C0C7A3">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6EC5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1CC45053">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0FCF422E">
            <w:pPr>
              <w:jc w:val="center"/>
              <w:rPr>
                <w:rFonts w:hint="eastAsia" w:ascii="仿宋" w:hAnsi="仿宋" w:eastAsia="仿宋" w:cs="仿宋"/>
                <w:color w:val="000000" w:themeColor="text1"/>
                <w:kern w:val="0"/>
                <w:szCs w:val="21"/>
                <w:lang w:eastAsia="zh-Hans"/>
                <w14:textFill>
                  <w14:solidFill>
                    <w14:schemeClr w14:val="tx1"/>
                  </w14:solidFill>
                </w14:textFill>
              </w:rPr>
            </w:pPr>
            <w:r>
              <w:rPr>
                <w:rFonts w:hint="eastAsia" w:ascii="仿宋" w:hAnsi="仿宋" w:eastAsia="仿宋" w:cs="仿宋"/>
                <w:color w:val="000000" w:themeColor="text1"/>
                <w:kern w:val="0"/>
                <w:szCs w:val="21"/>
                <w:lang w:eastAsia="zh-Hans"/>
                <w14:textFill>
                  <w14:solidFill>
                    <w14:schemeClr w14:val="tx1"/>
                  </w14:solidFill>
                </w14:textFill>
              </w:rPr>
              <w:t>控制主机</w:t>
            </w:r>
          </w:p>
        </w:tc>
        <w:tc>
          <w:tcPr>
            <w:tcW w:w="3737" w:type="pct"/>
            <w:tcBorders>
              <w:top w:val="single" w:color="auto" w:sz="8" w:space="0"/>
            </w:tcBorders>
            <w:shd w:val="clear" w:color="auto" w:fill="auto"/>
            <w:vAlign w:val="center"/>
          </w:tcPr>
          <w:p w14:paraId="69DC21CB">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1、CPU：≥国产CPU处理器，主频≥2.3G ； </w:t>
            </w:r>
          </w:p>
          <w:p w14:paraId="4588A639">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2、内存：≥4G DDR4 2666MHz；</w:t>
            </w:r>
          </w:p>
          <w:p w14:paraId="730AD1FF">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3、硬盘：≥128G SSD ≥1T机械硬盘 </w:t>
            </w:r>
          </w:p>
          <w:p w14:paraId="39EBD81E">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4、显示器：≥21.5 寸低蓝光液晶  </w:t>
            </w:r>
          </w:p>
          <w:p w14:paraId="24E5DDAA">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5、原厂正版Windows10系统</w:t>
            </w:r>
          </w:p>
        </w:tc>
        <w:tc>
          <w:tcPr>
            <w:tcW w:w="230" w:type="pct"/>
            <w:tcBorders>
              <w:top w:val="single" w:color="auto" w:sz="8" w:space="0"/>
            </w:tcBorders>
            <w:vAlign w:val="center"/>
          </w:tcPr>
          <w:p w14:paraId="09A30F47">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台</w:t>
            </w:r>
          </w:p>
        </w:tc>
        <w:tc>
          <w:tcPr>
            <w:tcW w:w="275" w:type="pct"/>
            <w:tcBorders>
              <w:top w:val="single" w:color="auto" w:sz="8" w:space="0"/>
            </w:tcBorders>
            <w:vAlign w:val="center"/>
          </w:tcPr>
          <w:p w14:paraId="4E0CD66D">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r>
      <w:tr w14:paraId="1F28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4A5C4323">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6326C9CE">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无线键鼠</w:t>
            </w:r>
          </w:p>
        </w:tc>
        <w:tc>
          <w:tcPr>
            <w:tcW w:w="3737" w:type="pct"/>
            <w:tcBorders>
              <w:top w:val="single" w:color="auto" w:sz="8" w:space="0"/>
            </w:tcBorders>
            <w:shd w:val="clear" w:color="auto" w:fill="auto"/>
            <w:vAlign w:val="center"/>
          </w:tcPr>
          <w:p w14:paraId="621B2937">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键盘、鼠标。</w:t>
            </w:r>
          </w:p>
        </w:tc>
        <w:tc>
          <w:tcPr>
            <w:tcW w:w="230" w:type="pct"/>
            <w:tcBorders>
              <w:top w:val="single" w:color="auto" w:sz="8" w:space="0"/>
            </w:tcBorders>
            <w:vAlign w:val="center"/>
          </w:tcPr>
          <w:p w14:paraId="39F787E0">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套</w:t>
            </w:r>
          </w:p>
        </w:tc>
        <w:tc>
          <w:tcPr>
            <w:tcW w:w="275" w:type="pct"/>
            <w:tcBorders>
              <w:top w:val="single" w:color="auto" w:sz="8" w:space="0"/>
            </w:tcBorders>
            <w:vAlign w:val="center"/>
          </w:tcPr>
          <w:p w14:paraId="0F8A502D">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1294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42D68F27">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5C6B96F7">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交换机</w:t>
            </w:r>
          </w:p>
        </w:tc>
        <w:tc>
          <w:tcPr>
            <w:tcW w:w="3737" w:type="pct"/>
            <w:tcBorders>
              <w:top w:val="single" w:color="auto" w:sz="8" w:space="0"/>
            </w:tcBorders>
            <w:shd w:val="clear" w:color="auto" w:fill="auto"/>
            <w:vAlign w:val="center"/>
          </w:tcPr>
          <w:p w14:paraId="23034B4D">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1、</w:t>
            </w:r>
            <w:r>
              <w:rPr>
                <w:rFonts w:hint="eastAsia" w:ascii="仿宋" w:hAnsi="仿宋" w:eastAsia="仿宋" w:cs="仿宋"/>
                <w:bCs/>
                <w:color w:val="000000" w:themeColor="text1"/>
                <w:szCs w:val="21"/>
                <w14:textFill>
                  <w14:solidFill>
                    <w14:schemeClr w14:val="tx1"/>
                  </w14:solidFill>
                </w14:textFill>
              </w:rPr>
              <w:t>24个10/100/1000M自适应RJ45端口</w:t>
            </w:r>
          </w:p>
          <w:p w14:paraId="7E29D521">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2、</w:t>
            </w:r>
            <w:r>
              <w:rPr>
                <w:rFonts w:hint="eastAsia" w:ascii="仿宋" w:hAnsi="仿宋" w:eastAsia="仿宋" w:cs="仿宋"/>
                <w:bCs/>
                <w:color w:val="000000" w:themeColor="text1"/>
                <w:szCs w:val="21"/>
                <w14:textFill>
                  <w14:solidFill>
                    <w14:schemeClr w14:val="tx1"/>
                  </w14:solidFill>
                </w14:textFill>
              </w:rPr>
              <w:t>所有端口均具备线速转发能力</w:t>
            </w:r>
          </w:p>
          <w:p w14:paraId="2DF95E8B">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3、</w:t>
            </w:r>
            <w:r>
              <w:rPr>
                <w:rFonts w:hint="eastAsia" w:ascii="仿宋" w:hAnsi="仿宋" w:eastAsia="仿宋" w:cs="仿宋"/>
                <w:bCs/>
                <w:color w:val="000000" w:themeColor="text1"/>
                <w:szCs w:val="21"/>
                <w14:textFill>
                  <w14:solidFill>
                    <w14:schemeClr w14:val="tx1"/>
                  </w14:solidFill>
                </w14:textFill>
              </w:rPr>
              <w:t>支持端口自动翻转（Auto MDI/MDIX）功能</w:t>
            </w:r>
          </w:p>
          <w:p w14:paraId="6BDA66EF">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4、</w:t>
            </w:r>
            <w:r>
              <w:rPr>
                <w:rFonts w:hint="eastAsia" w:ascii="仿宋" w:hAnsi="仿宋" w:eastAsia="仿宋" w:cs="仿宋"/>
                <w:bCs/>
                <w:color w:val="000000" w:themeColor="text1"/>
                <w:szCs w:val="21"/>
                <w14:textFill>
                  <w14:solidFill>
                    <w14:schemeClr w14:val="tx1"/>
                  </w14:solidFill>
                </w14:textFill>
              </w:rPr>
              <w:t>提供标准交换、VLAN隔离和网络克隆三种工作模式</w:t>
            </w:r>
          </w:p>
          <w:p w14:paraId="2904D0AD">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5</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支持通过拨动开关切换交换机工作模式</w:t>
            </w:r>
          </w:p>
          <w:p w14:paraId="01E30BD6">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6、</w:t>
            </w:r>
            <w:r>
              <w:rPr>
                <w:rFonts w:hint="eastAsia" w:ascii="仿宋" w:hAnsi="仿宋" w:eastAsia="仿宋" w:cs="仿宋"/>
                <w:bCs/>
                <w:color w:val="000000" w:themeColor="text1"/>
                <w:szCs w:val="21"/>
                <w14:textFill>
                  <w14:solidFill>
                    <w14:schemeClr w14:val="tx1"/>
                  </w14:solidFill>
                </w14:textFill>
              </w:rPr>
              <w:t>桌面型壳体，即插即用，可上机架</w:t>
            </w:r>
          </w:p>
        </w:tc>
        <w:tc>
          <w:tcPr>
            <w:tcW w:w="230" w:type="pct"/>
            <w:tcBorders>
              <w:top w:val="single" w:color="auto" w:sz="8" w:space="0"/>
            </w:tcBorders>
            <w:vAlign w:val="center"/>
          </w:tcPr>
          <w:p w14:paraId="6E64D420">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台</w:t>
            </w:r>
          </w:p>
        </w:tc>
        <w:tc>
          <w:tcPr>
            <w:tcW w:w="275" w:type="pct"/>
            <w:tcBorders>
              <w:top w:val="single" w:color="auto" w:sz="8" w:space="0"/>
            </w:tcBorders>
            <w:vAlign w:val="center"/>
          </w:tcPr>
          <w:p w14:paraId="6C82D2F2">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0FC6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70133883">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445903E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分配器</w:t>
            </w:r>
          </w:p>
        </w:tc>
        <w:tc>
          <w:tcPr>
            <w:tcW w:w="3737" w:type="pct"/>
            <w:tcBorders>
              <w:top w:val="single" w:color="auto" w:sz="8" w:space="0"/>
            </w:tcBorders>
            <w:shd w:val="clear" w:color="auto" w:fill="auto"/>
            <w:vAlign w:val="center"/>
          </w:tcPr>
          <w:p w14:paraId="703AA999">
            <w:pPr>
              <w:jc w:val="left"/>
              <w:rPr>
                <w:rFonts w:hint="eastAsia" w:ascii="仿宋" w:hAnsi="仿宋" w:eastAsia="仿宋" w:cs="仿宋"/>
                <w:color w:val="000000" w:themeColor="text1"/>
                <w:szCs w:val="21"/>
                <w:shd w:val="clear" w:color="auto" w:fill="FFFFFF"/>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HDMI输入，HDMI输出</w:t>
            </w:r>
          </w:p>
        </w:tc>
        <w:tc>
          <w:tcPr>
            <w:tcW w:w="230" w:type="pct"/>
            <w:tcBorders>
              <w:top w:val="single" w:color="auto" w:sz="8" w:space="0"/>
            </w:tcBorders>
            <w:vAlign w:val="center"/>
          </w:tcPr>
          <w:p w14:paraId="6311E6C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台</w:t>
            </w:r>
          </w:p>
        </w:tc>
        <w:tc>
          <w:tcPr>
            <w:tcW w:w="275" w:type="pct"/>
            <w:tcBorders>
              <w:top w:val="single" w:color="auto" w:sz="8" w:space="0"/>
            </w:tcBorders>
            <w:vAlign w:val="center"/>
          </w:tcPr>
          <w:p w14:paraId="40DFD2A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r>
      <w:tr w14:paraId="08D6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37E7D008">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7A1158D7">
            <w:pPr>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SDI线</w:t>
            </w:r>
          </w:p>
        </w:tc>
        <w:tc>
          <w:tcPr>
            <w:tcW w:w="3737" w:type="pct"/>
            <w:tcBorders>
              <w:top w:val="single" w:color="auto" w:sz="8" w:space="0"/>
            </w:tcBorders>
            <w:shd w:val="clear" w:color="auto" w:fill="auto"/>
            <w:vAlign w:val="center"/>
          </w:tcPr>
          <w:p w14:paraId="3E5AE381">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SDI高清视频线缆</w:t>
            </w:r>
          </w:p>
        </w:tc>
        <w:tc>
          <w:tcPr>
            <w:tcW w:w="230" w:type="pct"/>
            <w:tcBorders>
              <w:top w:val="single" w:color="auto" w:sz="8" w:space="0"/>
            </w:tcBorders>
            <w:vAlign w:val="center"/>
          </w:tcPr>
          <w:p w14:paraId="1C4A8886">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米</w:t>
            </w:r>
          </w:p>
        </w:tc>
        <w:tc>
          <w:tcPr>
            <w:tcW w:w="275" w:type="pct"/>
            <w:tcBorders>
              <w:top w:val="single" w:color="auto" w:sz="8" w:space="0"/>
            </w:tcBorders>
            <w:vAlign w:val="center"/>
          </w:tcPr>
          <w:p w14:paraId="41A585F3">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300</w:t>
            </w:r>
          </w:p>
        </w:tc>
      </w:tr>
      <w:tr w14:paraId="5887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0A77F770">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6634792A">
            <w:pPr>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高清线</w:t>
            </w:r>
          </w:p>
        </w:tc>
        <w:tc>
          <w:tcPr>
            <w:tcW w:w="3737" w:type="pct"/>
            <w:tcBorders>
              <w:top w:val="single" w:color="auto" w:sz="8" w:space="0"/>
            </w:tcBorders>
            <w:shd w:val="clear" w:color="auto" w:fill="auto"/>
            <w:vAlign w:val="center"/>
          </w:tcPr>
          <w:p w14:paraId="4253D128">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1.4版4K60Hz工程装修线一根，分辨率：4K@60Hz向下兼容3D/1080P/1080i/720P/480P，规格：4：4：4@60Hz，锌合金HDMI Type-A。</w:t>
            </w:r>
          </w:p>
        </w:tc>
        <w:tc>
          <w:tcPr>
            <w:tcW w:w="230" w:type="pct"/>
            <w:tcBorders>
              <w:top w:val="single" w:color="auto" w:sz="8" w:space="0"/>
            </w:tcBorders>
            <w:vAlign w:val="center"/>
          </w:tcPr>
          <w:p w14:paraId="2C66048D">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条</w:t>
            </w:r>
          </w:p>
        </w:tc>
        <w:tc>
          <w:tcPr>
            <w:tcW w:w="275" w:type="pct"/>
            <w:tcBorders>
              <w:top w:val="single" w:color="auto" w:sz="8" w:space="0"/>
            </w:tcBorders>
            <w:vAlign w:val="center"/>
          </w:tcPr>
          <w:p w14:paraId="0873FF05">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r>
      <w:tr w14:paraId="484E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245AB207">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2329925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音箱线</w:t>
            </w:r>
          </w:p>
        </w:tc>
        <w:tc>
          <w:tcPr>
            <w:tcW w:w="3737" w:type="pct"/>
            <w:tcBorders>
              <w:top w:val="single" w:color="auto" w:sz="8" w:space="0"/>
            </w:tcBorders>
            <w:shd w:val="clear" w:color="auto" w:fill="auto"/>
            <w:vAlign w:val="center"/>
          </w:tcPr>
          <w:p w14:paraId="0316DB97">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纯铜</w:t>
            </w:r>
            <w:r>
              <w:rPr>
                <w:rFonts w:hint="eastAsia" w:ascii="仿宋" w:hAnsi="仿宋" w:eastAsia="仿宋" w:cs="仿宋"/>
                <w:color w:val="000000" w:themeColor="text1"/>
                <w:szCs w:val="21"/>
                <w:shd w:val="clear" w:color="auto" w:fill="FFFFFF"/>
                <w14:textFill>
                  <w14:solidFill>
                    <w14:schemeClr w14:val="tx1"/>
                  </w14:solidFill>
                </w14:textFill>
              </w:rPr>
              <w:t>金银线200芯</w:t>
            </w:r>
            <w:r>
              <w:rPr>
                <w:rFonts w:hint="eastAsia" w:ascii="仿宋" w:hAnsi="仿宋" w:eastAsia="仿宋" w:cs="仿宋"/>
                <w:color w:val="000000" w:themeColor="text1"/>
                <w:szCs w:val="21"/>
                <w14:textFill>
                  <w14:solidFill>
                    <w14:schemeClr w14:val="tx1"/>
                  </w14:solidFill>
                </w14:textFill>
              </w:rPr>
              <w:t>音箱线</w:t>
            </w:r>
            <w:r>
              <w:rPr>
                <w:rFonts w:hint="eastAsia" w:ascii="仿宋" w:hAnsi="仿宋" w:eastAsia="仿宋" w:cs="仿宋"/>
                <w:color w:val="000000" w:themeColor="text1"/>
                <w:szCs w:val="21"/>
                <w:shd w:val="clear" w:color="auto" w:fill="FFFFFF"/>
                <w14:textFill>
                  <w14:solidFill>
                    <w14:schemeClr w14:val="tx1"/>
                  </w14:solidFill>
                </w14:textFill>
              </w:rPr>
              <w:t>。</w:t>
            </w:r>
          </w:p>
        </w:tc>
        <w:tc>
          <w:tcPr>
            <w:tcW w:w="230" w:type="pct"/>
            <w:tcBorders>
              <w:top w:val="single" w:color="auto" w:sz="8" w:space="0"/>
            </w:tcBorders>
            <w:vAlign w:val="center"/>
          </w:tcPr>
          <w:p w14:paraId="0F698C1F">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米</w:t>
            </w:r>
          </w:p>
        </w:tc>
        <w:tc>
          <w:tcPr>
            <w:tcW w:w="275" w:type="pct"/>
            <w:tcBorders>
              <w:top w:val="single" w:color="auto" w:sz="8" w:space="0"/>
            </w:tcBorders>
            <w:vAlign w:val="center"/>
          </w:tcPr>
          <w:p w14:paraId="0B79B85B">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w:t>
            </w:r>
          </w:p>
        </w:tc>
      </w:tr>
      <w:tr w14:paraId="48D8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48905882">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3EE1BAB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信号线</w:t>
            </w:r>
          </w:p>
        </w:tc>
        <w:tc>
          <w:tcPr>
            <w:tcW w:w="3737" w:type="pct"/>
            <w:tcBorders>
              <w:top w:val="single" w:color="auto" w:sz="8" w:space="0"/>
            </w:tcBorders>
            <w:shd w:val="clear" w:color="auto" w:fill="auto"/>
            <w:vAlign w:val="center"/>
          </w:tcPr>
          <w:p w14:paraId="2ABD9F93">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128网双芯咪线，导体20/0.12铜芯+4神经线，屏蔽铝箔+镀锡铜编织，外被PVC，线径OD6.0mm。</w:t>
            </w:r>
          </w:p>
        </w:tc>
        <w:tc>
          <w:tcPr>
            <w:tcW w:w="230" w:type="pct"/>
            <w:tcBorders>
              <w:top w:val="single" w:color="auto" w:sz="8" w:space="0"/>
            </w:tcBorders>
            <w:vAlign w:val="center"/>
          </w:tcPr>
          <w:p w14:paraId="2FC12040">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米</w:t>
            </w:r>
          </w:p>
        </w:tc>
        <w:tc>
          <w:tcPr>
            <w:tcW w:w="275" w:type="pct"/>
            <w:tcBorders>
              <w:top w:val="single" w:color="auto" w:sz="8" w:space="0"/>
            </w:tcBorders>
            <w:vAlign w:val="center"/>
          </w:tcPr>
          <w:p w14:paraId="57A1EA23">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w:t>
            </w:r>
          </w:p>
        </w:tc>
      </w:tr>
      <w:tr w14:paraId="51FA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222CC5D8">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7BFF38F6">
            <w:pPr>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电视支架</w:t>
            </w:r>
          </w:p>
        </w:tc>
        <w:tc>
          <w:tcPr>
            <w:tcW w:w="3737" w:type="pct"/>
            <w:tcBorders>
              <w:top w:val="single" w:color="auto" w:sz="8" w:space="0"/>
            </w:tcBorders>
            <w:shd w:val="clear" w:color="auto" w:fill="auto"/>
            <w:vAlign w:val="center"/>
          </w:tcPr>
          <w:p w14:paraId="10E562AC">
            <w:pPr>
              <w:widowControl/>
              <w:shd w:val="clear" w:color="auto" w:fill="FFFFFF"/>
              <w:ind w:right="96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1、</w:t>
            </w:r>
            <w:r>
              <w:rPr>
                <w:rFonts w:hint="eastAsia" w:ascii="仿宋" w:hAnsi="仿宋" w:eastAsia="仿宋" w:cs="仿宋"/>
                <w:color w:val="000000" w:themeColor="text1"/>
                <w:kern w:val="0"/>
                <w:szCs w:val="21"/>
                <w14:textFill>
                  <w14:solidFill>
                    <w14:schemeClr w14:val="tx1"/>
                  </w14:solidFill>
                </w14:textFill>
              </w:rPr>
              <w:t>最大承重（kg）</w:t>
            </w:r>
            <w:r>
              <w:rPr>
                <w:rFonts w:hint="eastAsia" w:ascii="仿宋" w:hAnsi="仿宋" w:eastAsia="仿宋" w:cs="仿宋"/>
                <w:color w:val="000000" w:themeColor="text1"/>
                <w:kern w:val="0"/>
                <w:szCs w:val="21"/>
                <w:lang w:eastAsia="zh-CN"/>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70</w:t>
            </w:r>
          </w:p>
          <w:p w14:paraId="2ED58DA5">
            <w:pPr>
              <w:widowControl/>
              <w:shd w:val="clear" w:color="auto" w:fill="FFFFFF"/>
              <w:ind w:right="96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2、</w:t>
            </w:r>
            <w:r>
              <w:rPr>
                <w:rFonts w:hint="eastAsia" w:ascii="仿宋" w:hAnsi="仿宋" w:eastAsia="仿宋" w:cs="仿宋"/>
                <w:color w:val="000000" w:themeColor="text1"/>
                <w:kern w:val="0"/>
                <w:szCs w:val="21"/>
                <w14:textFill>
                  <w14:solidFill>
                    <w14:schemeClr w14:val="tx1"/>
                  </w14:solidFill>
                </w14:textFill>
              </w:rPr>
              <w:t>适用单屏重量（kg）</w:t>
            </w:r>
            <w:r>
              <w:rPr>
                <w:rFonts w:hint="eastAsia" w:ascii="仿宋" w:hAnsi="仿宋" w:eastAsia="仿宋" w:cs="仿宋"/>
                <w:color w:val="000000" w:themeColor="text1"/>
                <w:kern w:val="0"/>
                <w:szCs w:val="21"/>
                <w:lang w:eastAsia="zh-CN"/>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70</w:t>
            </w:r>
          </w:p>
          <w:p w14:paraId="6E814D64">
            <w:pPr>
              <w:widowControl/>
              <w:shd w:val="clear" w:color="auto" w:fill="FFFFFF"/>
              <w:ind w:right="96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3、</w:t>
            </w:r>
            <w:r>
              <w:rPr>
                <w:rFonts w:hint="eastAsia" w:ascii="仿宋" w:hAnsi="仿宋" w:eastAsia="仿宋" w:cs="仿宋"/>
                <w:color w:val="000000" w:themeColor="text1"/>
                <w:kern w:val="0"/>
                <w:szCs w:val="21"/>
                <w14:textFill>
                  <w14:solidFill>
                    <w14:schemeClr w14:val="tx1"/>
                  </w14:solidFill>
                </w14:textFill>
              </w:rPr>
              <w:t>挂架材质</w:t>
            </w:r>
            <w:r>
              <w:rPr>
                <w:rFonts w:hint="eastAsia" w:ascii="仿宋" w:hAnsi="仿宋" w:eastAsia="仿宋" w:cs="仿宋"/>
                <w:color w:val="000000" w:themeColor="text1"/>
                <w:kern w:val="0"/>
                <w:szCs w:val="21"/>
                <w:lang w:eastAsia="zh-CN"/>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冷轧钢板</w:t>
            </w:r>
          </w:p>
          <w:p w14:paraId="3C36C08C">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4、</w:t>
            </w:r>
            <w:r>
              <w:rPr>
                <w:rFonts w:hint="eastAsia" w:ascii="仿宋" w:hAnsi="仿宋" w:eastAsia="仿宋" w:cs="仿宋"/>
                <w:color w:val="000000" w:themeColor="text1"/>
                <w:kern w:val="0"/>
                <w:szCs w:val="21"/>
                <w14:textFill>
                  <w14:solidFill>
                    <w14:schemeClr w14:val="tx1"/>
                  </w14:solidFill>
                </w14:textFill>
              </w:rPr>
              <w:t>适用电视孔距：600x400范围内（横向x纵向）</w:t>
            </w:r>
          </w:p>
        </w:tc>
        <w:tc>
          <w:tcPr>
            <w:tcW w:w="230" w:type="pct"/>
            <w:tcBorders>
              <w:top w:val="single" w:color="auto" w:sz="8" w:space="0"/>
            </w:tcBorders>
            <w:vAlign w:val="center"/>
          </w:tcPr>
          <w:p w14:paraId="4032DDD2">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付</w:t>
            </w:r>
          </w:p>
        </w:tc>
        <w:tc>
          <w:tcPr>
            <w:tcW w:w="275" w:type="pct"/>
            <w:tcBorders>
              <w:top w:val="single" w:color="auto" w:sz="8" w:space="0"/>
            </w:tcBorders>
            <w:vAlign w:val="center"/>
          </w:tcPr>
          <w:p w14:paraId="7AC679EA">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r>
      <w:tr w14:paraId="6607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7879EAC7">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3095A294">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机柜</w:t>
            </w:r>
          </w:p>
        </w:tc>
        <w:tc>
          <w:tcPr>
            <w:tcW w:w="3737" w:type="pct"/>
            <w:tcBorders>
              <w:top w:val="single" w:color="auto" w:sz="8" w:space="0"/>
            </w:tcBorders>
            <w:shd w:val="clear" w:color="auto" w:fill="auto"/>
            <w:vAlign w:val="center"/>
          </w:tcPr>
          <w:p w14:paraId="351A8DEC">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1、机柜需符合IEC 60297-2，ANSI/EIA RS-310-D标准，兼容19”国际标准。</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2、机柜颜色需采用黑色，表面喷涂喷粉厚度应不小于60μm ,采用黑色砂纹工艺，满足防腐、防锈、光洁、色泽均匀、无流挂、不露底、无起泡、无裂纹、金属件无毛刺锈蚀要求。</w:t>
            </w:r>
          </w:p>
        </w:tc>
        <w:tc>
          <w:tcPr>
            <w:tcW w:w="230" w:type="pct"/>
            <w:tcBorders>
              <w:top w:val="single" w:color="auto" w:sz="8" w:space="0"/>
            </w:tcBorders>
            <w:vAlign w:val="center"/>
          </w:tcPr>
          <w:p w14:paraId="544ACEA6">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台</w:t>
            </w:r>
          </w:p>
        </w:tc>
        <w:tc>
          <w:tcPr>
            <w:tcW w:w="275" w:type="pct"/>
            <w:tcBorders>
              <w:top w:val="single" w:color="auto" w:sz="8" w:space="0"/>
            </w:tcBorders>
            <w:vAlign w:val="center"/>
          </w:tcPr>
          <w:p w14:paraId="4994AEE1">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3DCD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72F57BE9">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3C52F578">
            <w:pPr>
              <w:jc w:val="center"/>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施工辅材布线配件</w:t>
            </w:r>
          </w:p>
        </w:tc>
        <w:tc>
          <w:tcPr>
            <w:tcW w:w="3737" w:type="pct"/>
            <w:tcBorders>
              <w:top w:val="single" w:color="auto" w:sz="8" w:space="0"/>
            </w:tcBorders>
            <w:shd w:val="clear" w:color="auto" w:fill="auto"/>
            <w:vAlign w:val="center"/>
          </w:tcPr>
          <w:p w14:paraId="11D8A555">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转接头，6.35转接头，梅花头，VGA转接头、线管、线材施工配件</w:t>
            </w:r>
          </w:p>
        </w:tc>
        <w:tc>
          <w:tcPr>
            <w:tcW w:w="230" w:type="pct"/>
            <w:tcBorders>
              <w:top w:val="single" w:color="auto" w:sz="8" w:space="0"/>
            </w:tcBorders>
            <w:vAlign w:val="center"/>
          </w:tcPr>
          <w:p w14:paraId="5B394FB8">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批</w:t>
            </w:r>
          </w:p>
        </w:tc>
        <w:tc>
          <w:tcPr>
            <w:tcW w:w="275" w:type="pct"/>
            <w:tcBorders>
              <w:top w:val="single" w:color="auto" w:sz="8" w:space="0"/>
            </w:tcBorders>
            <w:vAlign w:val="center"/>
          </w:tcPr>
          <w:p w14:paraId="5D5EBF8A">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r>
      <w:tr w14:paraId="564E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0E8E43B2">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1F5587C4">
            <w:pPr>
              <w:jc w:val="center"/>
              <w:rPr>
                <w:rFonts w:hint="eastAsia" w:ascii="仿宋" w:hAnsi="仿宋" w:eastAsia="仿宋" w:cs="仿宋"/>
                <w:b/>
                <w:color w:val="000000" w:themeColor="text1"/>
                <w:kern w:val="0"/>
                <w:szCs w:val="21"/>
                <w14:textFill>
                  <w14:solidFill>
                    <w14:schemeClr w14:val="tx1"/>
                  </w14:solidFill>
                </w14:textFill>
              </w:rPr>
            </w:pPr>
            <w:r>
              <w:rPr>
                <w:rFonts w:hint="eastAsia" w:ascii="仿宋" w:hAnsi="仿宋" w:eastAsia="仿宋" w:cs="仿宋"/>
                <w:b/>
                <w:color w:val="000000" w:themeColor="text1"/>
                <w:kern w:val="0"/>
                <w:szCs w:val="21"/>
                <w14:textFill>
                  <w14:solidFill>
                    <w14:schemeClr w14:val="tx1"/>
                  </w14:solidFill>
                </w14:textFill>
              </w:rPr>
              <w:t>墙面部分</w:t>
            </w:r>
          </w:p>
        </w:tc>
        <w:tc>
          <w:tcPr>
            <w:tcW w:w="3737" w:type="pct"/>
            <w:tcBorders>
              <w:top w:val="single" w:color="auto" w:sz="8" w:space="0"/>
            </w:tcBorders>
            <w:shd w:val="clear" w:color="auto" w:fill="FABF8F"/>
            <w:vAlign w:val="center"/>
          </w:tcPr>
          <w:p w14:paraId="7800960D">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74757F0B">
            <w:pPr>
              <w:jc w:val="center"/>
              <w:rPr>
                <w:rFonts w:hint="eastAsia" w:ascii="仿宋" w:hAnsi="仿宋" w:eastAsia="仿宋" w:cs="仿宋"/>
                <w:b/>
                <w:color w:val="000000" w:themeColor="text1"/>
                <w:szCs w:val="21"/>
                <w14:textFill>
                  <w14:solidFill>
                    <w14:schemeClr w14:val="tx1"/>
                  </w14:solidFill>
                </w14:textFill>
              </w:rPr>
            </w:pPr>
          </w:p>
          <w:p w14:paraId="67808490">
            <w:bookmarkStart w:id="1" w:name="_GoBack"/>
            <w:bookmarkEnd w:id="1"/>
          </w:p>
        </w:tc>
        <w:tc>
          <w:tcPr>
            <w:tcW w:w="275" w:type="pct"/>
            <w:tcBorders>
              <w:top w:val="single" w:color="auto" w:sz="8" w:space="0"/>
            </w:tcBorders>
            <w:shd w:val="clear" w:color="auto" w:fill="FABF8F"/>
            <w:vAlign w:val="center"/>
          </w:tcPr>
          <w:p w14:paraId="382F882E">
            <w:pPr>
              <w:jc w:val="center"/>
              <w:rPr>
                <w:rFonts w:hint="eastAsia" w:ascii="仿宋" w:hAnsi="仿宋" w:eastAsia="仿宋" w:cs="仿宋"/>
                <w:b/>
                <w:color w:val="000000" w:themeColor="text1"/>
                <w:szCs w:val="21"/>
                <w14:textFill>
                  <w14:solidFill>
                    <w14:schemeClr w14:val="tx1"/>
                  </w14:solidFill>
                </w14:textFill>
              </w:rPr>
            </w:pPr>
          </w:p>
        </w:tc>
      </w:tr>
      <w:tr w14:paraId="43EB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333B2A89">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0F8F645D">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纤维吸音板</w:t>
            </w:r>
          </w:p>
        </w:tc>
        <w:tc>
          <w:tcPr>
            <w:tcW w:w="3737" w:type="pct"/>
            <w:tcBorders>
              <w:top w:val="single" w:color="auto" w:sz="8" w:space="0"/>
            </w:tcBorders>
            <w:shd w:val="clear" w:color="auto" w:fill="auto"/>
            <w:vAlign w:val="center"/>
          </w:tcPr>
          <w:p w14:paraId="41E1FFBF">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纤维吸音板，环保：符合GB</w:t>
            </w:r>
            <w:r>
              <w:rPr>
                <w:rFonts w:hint="default"/>
                <w:lang w:val="en-US" w:eastAsia="zh-CN"/>
              </w:rPr>
              <w:t>/T</w:t>
            </w:r>
            <w:r>
              <w:rPr>
                <w:rFonts w:hint="eastAsia" w:ascii="仿宋" w:hAnsi="仿宋" w:eastAsia="仿宋" w:cs="仿宋"/>
                <w:bCs/>
                <w:color w:val="000000" w:themeColor="text1"/>
                <w:szCs w:val="21"/>
                <w14:textFill>
                  <w14:solidFill>
                    <w14:schemeClr w14:val="tx1"/>
                  </w14:solidFill>
                </w14:textFill>
              </w:rPr>
              <w:t>18590-2001，规格：600X600X9mm，安装结构：木龙骨架（龙骨架直接需填充吸音棉）+底板（9厘E1级阻燃板）+免钉胶+饰面层毛毡。吸音系数0.76。</w:t>
            </w:r>
          </w:p>
        </w:tc>
        <w:tc>
          <w:tcPr>
            <w:tcW w:w="230" w:type="pct"/>
            <w:tcBorders>
              <w:top w:val="single" w:color="auto" w:sz="8" w:space="0"/>
            </w:tcBorders>
            <w:vAlign w:val="center"/>
          </w:tcPr>
          <w:p w14:paraId="42B2BF3E">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w:t>
            </w:r>
          </w:p>
        </w:tc>
        <w:tc>
          <w:tcPr>
            <w:tcW w:w="275" w:type="pct"/>
            <w:tcBorders>
              <w:top w:val="single" w:color="auto" w:sz="8" w:space="0"/>
            </w:tcBorders>
            <w:vAlign w:val="center"/>
          </w:tcPr>
          <w:p w14:paraId="7BAA0C55">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90</w:t>
            </w:r>
          </w:p>
        </w:tc>
      </w:tr>
      <w:tr w14:paraId="1CA2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FABF8F"/>
            <w:vAlign w:val="center"/>
          </w:tcPr>
          <w:p w14:paraId="39BEA0A6">
            <w:pPr>
              <w:numPr>
                <w:ilvl w:val="-1"/>
                <w:numId w:val="0"/>
              </w:numPr>
              <w:snapToGrid w:val="0"/>
              <w:jc w:val="both"/>
              <w:rPr>
                <w:rFonts w:hint="eastAsia" w:ascii="仿宋" w:hAnsi="仿宋" w:eastAsia="仿宋" w:cs="仿宋"/>
                <w:b/>
                <w:color w:val="000000" w:themeColor="text1"/>
                <w:szCs w:val="21"/>
                <w14:textFill>
                  <w14:solidFill>
                    <w14:schemeClr w14:val="tx1"/>
                  </w14:solidFill>
                </w14:textFill>
              </w:rPr>
            </w:pPr>
          </w:p>
        </w:tc>
        <w:tc>
          <w:tcPr>
            <w:tcW w:w="525" w:type="pct"/>
            <w:tcBorders>
              <w:top w:val="single" w:color="auto" w:sz="8" w:space="0"/>
            </w:tcBorders>
            <w:shd w:val="clear" w:color="auto" w:fill="FABF8F"/>
            <w:vAlign w:val="center"/>
          </w:tcPr>
          <w:p w14:paraId="7A93010E">
            <w:pPr>
              <w:jc w:val="center"/>
              <w:rPr>
                <w:rFonts w:hint="eastAsia" w:ascii="仿宋" w:hAnsi="仿宋" w:eastAsia="仿宋" w:cs="仿宋"/>
                <w:b/>
                <w:color w:val="000000" w:themeColor="text1"/>
                <w:kern w:val="0"/>
                <w:szCs w:val="21"/>
                <w14:textFill>
                  <w14:solidFill>
                    <w14:schemeClr w14:val="tx1"/>
                  </w14:solidFill>
                </w14:textFill>
              </w:rPr>
            </w:pPr>
            <w:r>
              <w:rPr>
                <w:rFonts w:hint="eastAsia" w:ascii="仿宋" w:hAnsi="仿宋" w:eastAsia="仿宋" w:cs="仿宋"/>
                <w:b/>
                <w:color w:val="000000" w:themeColor="text1"/>
                <w:kern w:val="0"/>
                <w:szCs w:val="21"/>
                <w14:textFill>
                  <w14:solidFill>
                    <w14:schemeClr w14:val="tx1"/>
                  </w14:solidFill>
                </w14:textFill>
              </w:rPr>
              <w:t>电路部分</w:t>
            </w:r>
          </w:p>
        </w:tc>
        <w:tc>
          <w:tcPr>
            <w:tcW w:w="3737" w:type="pct"/>
            <w:tcBorders>
              <w:top w:val="single" w:color="auto" w:sz="8" w:space="0"/>
            </w:tcBorders>
            <w:shd w:val="clear" w:color="auto" w:fill="FABF8F"/>
            <w:vAlign w:val="center"/>
          </w:tcPr>
          <w:p w14:paraId="3852D7A7">
            <w:pPr>
              <w:jc w:val="left"/>
              <w:rPr>
                <w:rFonts w:hint="eastAsia" w:ascii="仿宋" w:hAnsi="仿宋" w:eastAsia="仿宋" w:cs="仿宋"/>
                <w:b/>
                <w:color w:val="000000" w:themeColor="text1"/>
                <w:szCs w:val="21"/>
                <w14:textFill>
                  <w14:solidFill>
                    <w14:schemeClr w14:val="tx1"/>
                  </w14:solidFill>
                </w14:textFill>
              </w:rPr>
            </w:pPr>
          </w:p>
        </w:tc>
        <w:tc>
          <w:tcPr>
            <w:tcW w:w="230" w:type="pct"/>
            <w:tcBorders>
              <w:top w:val="single" w:color="auto" w:sz="8" w:space="0"/>
            </w:tcBorders>
            <w:shd w:val="clear" w:color="auto" w:fill="FABF8F"/>
            <w:vAlign w:val="center"/>
          </w:tcPr>
          <w:p w14:paraId="3B264E18">
            <w:pPr>
              <w:jc w:val="center"/>
              <w:rPr>
                <w:rFonts w:hint="eastAsia" w:ascii="仿宋" w:hAnsi="仿宋" w:eastAsia="仿宋" w:cs="仿宋"/>
                <w:b/>
                <w:color w:val="000000" w:themeColor="text1"/>
                <w:szCs w:val="21"/>
                <w14:textFill>
                  <w14:solidFill>
                    <w14:schemeClr w14:val="tx1"/>
                  </w14:solidFill>
                </w14:textFill>
              </w:rPr>
            </w:pPr>
          </w:p>
          <w:p w14:paraId="62B942D5"/>
        </w:tc>
        <w:tc>
          <w:tcPr>
            <w:tcW w:w="275" w:type="pct"/>
            <w:tcBorders>
              <w:top w:val="single" w:color="auto" w:sz="8" w:space="0"/>
            </w:tcBorders>
            <w:shd w:val="clear" w:color="auto" w:fill="FABF8F"/>
            <w:vAlign w:val="center"/>
          </w:tcPr>
          <w:p w14:paraId="6826C681">
            <w:pPr>
              <w:jc w:val="center"/>
              <w:rPr>
                <w:rFonts w:hint="eastAsia" w:ascii="仿宋" w:hAnsi="仿宋" w:eastAsia="仿宋" w:cs="仿宋"/>
                <w:b/>
                <w:color w:val="000000" w:themeColor="text1"/>
                <w:szCs w:val="21"/>
                <w14:textFill>
                  <w14:solidFill>
                    <w14:schemeClr w14:val="tx1"/>
                  </w14:solidFill>
                </w14:textFill>
              </w:rPr>
            </w:pPr>
          </w:p>
        </w:tc>
      </w:tr>
      <w:tr w14:paraId="6D52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tcBorders>
              <w:top w:val="single" w:color="auto" w:sz="8" w:space="0"/>
            </w:tcBorders>
            <w:shd w:val="clear" w:color="auto" w:fill="auto"/>
            <w:vAlign w:val="center"/>
          </w:tcPr>
          <w:p w14:paraId="2E2DE6C8">
            <w:pPr>
              <w:numPr>
                <w:ilvl w:val="0"/>
                <w:numId w:val="2"/>
              </w:numPr>
              <w:snapToGrid w:val="0"/>
              <w:jc w:val="center"/>
              <w:rPr>
                <w:rFonts w:hint="eastAsia" w:ascii="仿宋" w:hAnsi="仿宋" w:eastAsia="仿宋" w:cs="仿宋"/>
                <w:bCs/>
                <w:color w:val="000000" w:themeColor="text1"/>
                <w:szCs w:val="21"/>
                <w14:textFill>
                  <w14:solidFill>
                    <w14:schemeClr w14:val="tx1"/>
                  </w14:solidFill>
                </w14:textFill>
              </w:rPr>
            </w:pPr>
          </w:p>
        </w:tc>
        <w:tc>
          <w:tcPr>
            <w:tcW w:w="525" w:type="pct"/>
            <w:tcBorders>
              <w:top w:val="single" w:color="auto" w:sz="8" w:space="0"/>
            </w:tcBorders>
            <w:vAlign w:val="center"/>
          </w:tcPr>
          <w:p w14:paraId="5B035553">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护眼灯</w:t>
            </w:r>
          </w:p>
        </w:tc>
        <w:tc>
          <w:tcPr>
            <w:tcW w:w="3737" w:type="pct"/>
            <w:tcBorders>
              <w:top w:val="single" w:color="auto" w:sz="8" w:space="0"/>
            </w:tcBorders>
            <w:shd w:val="clear" w:color="auto" w:fill="auto"/>
            <w:vAlign w:val="center"/>
          </w:tcPr>
          <w:p w14:paraId="44F5650F">
            <w:pPr>
              <w:jc w:val="left"/>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1、LED面板灯须为一体式灯具，不接受组合式灯具。</w:t>
            </w:r>
            <w:r>
              <w:rPr>
                <w:rFonts w:hint="eastAsia" w:ascii="仿宋" w:hAnsi="仿宋" w:eastAsia="仿宋" w:cs="仿宋"/>
                <w:bCs/>
                <w:color w:val="000000" w:themeColor="text1"/>
                <w:szCs w:val="21"/>
                <w14:textFill>
                  <w14:solidFill>
                    <w14:schemeClr w14:val="tx1"/>
                  </w14:solidFill>
                </w14:textFill>
              </w:rPr>
              <w:br w:type="textWrapping"/>
            </w:r>
            <w:r>
              <w:rPr>
                <w:rFonts w:hint="eastAsia" w:ascii="仿宋" w:hAnsi="仿宋" w:eastAsia="仿宋" w:cs="仿宋"/>
                <w:bCs/>
                <w:color w:val="000000" w:themeColor="text1"/>
                <w:szCs w:val="21"/>
                <w14:textFill>
                  <w14:solidFill>
                    <w14:schemeClr w14:val="tx1"/>
                  </w14:solidFill>
                </w14:textFill>
              </w:rPr>
              <w:t>2、LED面板灯产品整灯尺寸长595±2mm、宽595±2mm、边框采用银色铝型材。</w:t>
            </w:r>
          </w:p>
        </w:tc>
        <w:tc>
          <w:tcPr>
            <w:tcW w:w="230" w:type="pct"/>
            <w:tcBorders>
              <w:top w:val="single" w:color="auto" w:sz="8" w:space="0"/>
            </w:tcBorders>
            <w:vAlign w:val="center"/>
          </w:tcPr>
          <w:p w14:paraId="0E5594E5">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盏</w:t>
            </w:r>
          </w:p>
        </w:tc>
        <w:tc>
          <w:tcPr>
            <w:tcW w:w="275" w:type="pct"/>
            <w:tcBorders>
              <w:top w:val="single" w:color="auto" w:sz="8" w:space="0"/>
            </w:tcBorders>
            <w:vAlign w:val="center"/>
          </w:tcPr>
          <w:p w14:paraId="6C8801A6">
            <w:pPr>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24</w:t>
            </w:r>
          </w:p>
        </w:tc>
      </w:tr>
    </w:tbl>
    <w:p w14:paraId="55A677FC">
      <w:pPr>
        <w:spacing w:line="360" w:lineRule="auto"/>
        <w:outlineLvl w:val="9"/>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（二）校园IP广播系统</w:t>
      </w:r>
    </w:p>
    <w:tbl>
      <w:tblPr>
        <w:tblStyle w:val="7"/>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752"/>
        <w:gridCol w:w="5907"/>
        <w:gridCol w:w="739"/>
        <w:gridCol w:w="875"/>
      </w:tblGrid>
      <w:tr w14:paraId="160F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7" w:type="pct"/>
            <w:shd w:val="clear" w:color="auto" w:fill="auto"/>
            <w:vAlign w:val="center"/>
          </w:tcPr>
          <w:p w14:paraId="42C82B91">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879" w:type="pct"/>
            <w:vAlign w:val="center"/>
          </w:tcPr>
          <w:p w14:paraId="7A95D99E">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名称</w:t>
            </w:r>
          </w:p>
        </w:tc>
        <w:tc>
          <w:tcPr>
            <w:tcW w:w="2964" w:type="pct"/>
            <w:shd w:val="clear" w:color="auto" w:fill="auto"/>
            <w:vAlign w:val="center"/>
          </w:tcPr>
          <w:p w14:paraId="627A78AE">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技术规格及要求</w:t>
            </w:r>
          </w:p>
        </w:tc>
        <w:tc>
          <w:tcPr>
            <w:tcW w:w="371" w:type="pct"/>
            <w:shd w:val="clear" w:color="auto" w:fill="auto"/>
            <w:vAlign w:val="center"/>
          </w:tcPr>
          <w:p w14:paraId="0F7483DB">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单位</w:t>
            </w:r>
          </w:p>
        </w:tc>
        <w:tc>
          <w:tcPr>
            <w:tcW w:w="440" w:type="pct"/>
            <w:shd w:val="clear" w:color="auto" w:fill="auto"/>
            <w:vAlign w:val="center"/>
          </w:tcPr>
          <w:p w14:paraId="03F31778">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数量</w:t>
            </w:r>
          </w:p>
        </w:tc>
      </w:tr>
      <w:tr w14:paraId="26D4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25" w:type="pct"/>
            <w:gridSpan w:val="2"/>
            <w:shd w:val="clear" w:color="auto" w:fill="FABF8F"/>
            <w:noWrap/>
            <w:vAlign w:val="center"/>
          </w:tcPr>
          <w:p w14:paraId="24C3940C">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一、主控机房设备</w:t>
            </w:r>
          </w:p>
        </w:tc>
        <w:tc>
          <w:tcPr>
            <w:tcW w:w="2964" w:type="pct"/>
            <w:shd w:val="clear" w:color="auto" w:fill="FABF8F"/>
            <w:vAlign w:val="center"/>
          </w:tcPr>
          <w:p w14:paraId="7E134BC6">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454EECB5">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38" w:type="pct"/>
            <w:shd w:val="clear" w:color="auto" w:fill="FABF8F"/>
            <w:vAlign w:val="center"/>
          </w:tcPr>
          <w:p w14:paraId="7FDBA64E">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3577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3394F6F5">
            <w:pPr>
              <w:widowControl/>
              <w:jc w:val="center"/>
              <w:rPr>
                <w:rFonts w:hint="eastAsia" w:ascii="仿宋" w:hAnsi="仿宋" w:eastAsia="仿宋" w:cs="仿宋"/>
                <w:color w:val="000000" w:themeColor="text1"/>
                <w:kern w:val="0"/>
                <w:sz w:val="24"/>
                <w:szCs w:val="24"/>
                <w14:textFill>
                  <w14:solidFill>
                    <w14:schemeClr w14:val="tx1"/>
                  </w14:solidFill>
                </w14:textFill>
              </w:rPr>
            </w:pPr>
          </w:p>
        </w:tc>
        <w:tc>
          <w:tcPr>
            <w:tcW w:w="879" w:type="pct"/>
            <w:shd w:val="clear" w:color="auto" w:fill="FABF8F"/>
            <w:vAlign w:val="center"/>
          </w:tcPr>
          <w:p w14:paraId="3DDDA2DE">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广播设备</w:t>
            </w:r>
          </w:p>
        </w:tc>
        <w:tc>
          <w:tcPr>
            <w:tcW w:w="2964" w:type="pct"/>
            <w:shd w:val="clear" w:color="auto" w:fill="FABF8F"/>
            <w:vAlign w:val="center"/>
          </w:tcPr>
          <w:p w14:paraId="58308806">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371" w:type="pct"/>
            <w:shd w:val="clear" w:color="auto" w:fill="FABF8F"/>
            <w:vAlign w:val="center"/>
          </w:tcPr>
          <w:p w14:paraId="58DF2D1D">
            <w:pPr>
              <w:widowControl/>
              <w:jc w:val="center"/>
              <w:rPr>
                <w:rFonts w:hint="eastAsia" w:ascii="仿宋" w:hAnsi="仿宋" w:eastAsia="仿宋" w:cs="仿宋"/>
                <w:color w:val="000000" w:themeColor="text1"/>
                <w:kern w:val="0"/>
                <w:sz w:val="24"/>
                <w:szCs w:val="24"/>
                <w14:textFill>
                  <w14:solidFill>
                    <w14:schemeClr w14:val="tx1"/>
                  </w14:solidFill>
                </w14:textFill>
              </w:rPr>
            </w:pPr>
          </w:p>
        </w:tc>
        <w:tc>
          <w:tcPr>
            <w:tcW w:w="440" w:type="pct"/>
            <w:shd w:val="clear" w:color="auto" w:fill="FABF8F"/>
            <w:vAlign w:val="center"/>
          </w:tcPr>
          <w:p w14:paraId="04D290B3">
            <w:pPr>
              <w:widowControl/>
              <w:jc w:val="center"/>
              <w:rPr>
                <w:rFonts w:hint="eastAsia" w:ascii="仿宋" w:hAnsi="仿宋" w:eastAsia="仿宋" w:cs="仿宋"/>
                <w:color w:val="000000" w:themeColor="text1"/>
                <w:kern w:val="0"/>
                <w:sz w:val="24"/>
                <w:szCs w:val="24"/>
                <w14:textFill>
                  <w14:solidFill>
                    <w14:schemeClr w14:val="tx1"/>
                  </w14:solidFill>
                </w14:textFill>
              </w:rPr>
            </w:pPr>
          </w:p>
        </w:tc>
      </w:tr>
      <w:tr w14:paraId="16FE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A27C2D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64BC078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网络化广播主机服务器</w:t>
            </w:r>
          </w:p>
        </w:tc>
        <w:tc>
          <w:tcPr>
            <w:tcW w:w="2964" w:type="pct"/>
            <w:shd w:val="clear" w:color="auto" w:fill="auto"/>
            <w:vAlign w:val="center"/>
          </w:tcPr>
          <w:p w14:paraId="6673544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1.自带服务器操控软件。</w:t>
            </w:r>
          </w:p>
          <w:p w14:paraId="71753A6D">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2.液晶屏屏幕尺寸：≥17.3寸；CPU：</w:t>
            </w:r>
            <w:r>
              <w:rPr>
                <w:rFonts w:hint="eastAsia" w:ascii="仿宋" w:hAnsi="仿宋" w:eastAsia="仿宋" w:cs="仿宋"/>
                <w:color w:val="000000" w:themeColor="text1"/>
                <w:kern w:val="0"/>
                <w:sz w:val="24"/>
                <w:szCs w:val="24"/>
                <w:lang w:eastAsia="zh-CN"/>
                <w14:textFill>
                  <w14:solidFill>
                    <w14:schemeClr w14:val="tx1"/>
                  </w14:solidFill>
                </w14:textFill>
              </w:rPr>
              <w:t>性能不低于</w:t>
            </w:r>
            <w:r>
              <w:rPr>
                <w:rFonts w:hint="eastAsia" w:ascii="仿宋" w:hAnsi="仿宋" w:eastAsia="仿宋" w:cs="仿宋"/>
                <w:color w:val="000000" w:themeColor="text1"/>
                <w:kern w:val="0"/>
                <w:sz w:val="24"/>
                <w:szCs w:val="24"/>
                <w14:textFill>
                  <w14:solidFill>
                    <w14:schemeClr w14:val="tx1"/>
                  </w14:solidFill>
                </w14:textFill>
              </w:rPr>
              <w:t>Intel(R) Core(TM)i5、≥3.10GHz 、四线程；内存：最大支持32GB；存储：120G固态硬盘+500G机械硬盘。</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（提供第三方权威机构出具检测合格带有CMA或CNAS标识检测报告复印件予以佐证）</w:t>
            </w:r>
          </w:p>
          <w:p w14:paraId="394F537F">
            <w:pPr>
              <w:widowControl/>
              <w:jc w:val="left"/>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四路音频采集模块：≥1路网络指示灯，≥4路音频指示灯，≥4路SC短路输入，主机≥4个独立的6.5MM音频输入通道（每路自带音量物理调节旋钮，每路可独立调节）可无限拓展外接音源采集，可任意分配，可利用网络终端来扩展音频输入通道。</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（提供第三方权威机构出具检测合格带有CMA或CNAS标识检测报告复印件予以佐证）</w:t>
            </w:r>
          </w:p>
          <w:p w14:paraId="3342F831">
            <w:pPr>
              <w:widowControl/>
              <w:jc w:val="left"/>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4.监听模块卡：≥2路指示灯；≥1路电平调节旋钮；≥2脚绿插（恢复特定IP参数）；内置输出功放接口（定阻4欧≥10W 或定阻8欧≥5W）和≥2个辅助混合6.5MM音频输入接口（包含1路 6.5MM MIC接口和1路 6.5MM LINE IN音频输入接口）及一路LINE OUT耳机接口，可输出内容包括可监听终端输出声音、监听终端环境声音。</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（提供第三方权威机构出具检测合格带有CMA或CNAS标识检测报告复印件予以佐证）</w:t>
            </w:r>
          </w:p>
          <w:p w14:paraId="2B384D76">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5.硬盘卡模块：该模块可根据用户需要进行操作；自带一路USB接口； 可接入键盘或鼠标；可接入移动储存设备。</w:t>
            </w:r>
          </w:p>
          <w:p w14:paraId="2A0083A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6.电源主、备扩展模块卡：≥4路12V电源输出接口，≥4路短路信号输出接口，≥4路电源输出，并可对每路电源进行管理（非外部扩展）；</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（提供第三方权威机构出具检测合格带有CMA或CNAS标识检测报告复印件予以佐证）</w:t>
            </w:r>
          </w:p>
          <w:p w14:paraId="70C78B1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7.交换机模块：≥2路网络端口；具有网络线路故障检测与自动选择功能；≥17路指示灯；</w:t>
            </w:r>
          </w:p>
          <w:p w14:paraId="322EC62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8.前面板接口：≥1路红色机械式一键报警实体按钮；≥1路手持式紧急话筒；≥1路内置CD播放器；≥2路USB 接口；≥1路EMC MIC接口。</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（提供第三方权威机构出具检测合格带有CMA或CNAS标识检测报告复印件予以佐证）</w:t>
            </w:r>
          </w:p>
          <w:p w14:paraId="4774517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9.具有TTS文字广播功能：支持中英文文字转语音，可直接导入文本格式，主机自动识别成语音播放。</w:t>
            </w:r>
          </w:p>
          <w:p w14:paraId="5466C5EE">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10.支持网络电台及Airplay无线推送</w:t>
            </w:r>
            <w:r>
              <w:rPr>
                <w:rFonts w:hint="eastAsia" w:ascii="仿宋" w:hAnsi="仿宋" w:eastAsia="仿宋" w:cs="仿宋"/>
                <w:b/>
                <w:bCs/>
                <w:color w:val="000000" w:themeColor="text1"/>
                <w:kern w:val="0"/>
                <w:sz w:val="24"/>
                <w:szCs w:val="24"/>
                <w14:textFill>
                  <w14:solidFill>
                    <w14:schemeClr w14:val="tx1"/>
                  </w14:solidFill>
                </w14:textFill>
              </w:rPr>
              <w:t>功能，具有“广播电台模式”或“Airplay 模式”可选（提供第三方权威机构出具检测合格带有CMA或CNAS标识检测报告复印件予以佐证）</w:t>
            </w:r>
          </w:p>
          <w:p w14:paraId="05C42B0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11.具有主机备份功能，支持两个服务器数据同步，当主服务器发生故障时，可切换到备用服务器。</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（提供第三方权威机构出具带有CMA或CNAS标识检测报告复印件予以佐证）</w:t>
            </w:r>
          </w:p>
          <w:p w14:paraId="51B3972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12.具有电子地图功能：电子地图交互管理，可查看每个分区所在的地理位置，并能对分区执行“播放、钟声、寻呼、告警、程控”等操作任务。</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（提供第三方权威机构出具检测合格带有CMA或CNAS标识检测报告复印件予以佐证）</w:t>
            </w:r>
          </w:p>
          <w:p w14:paraId="71BA139F">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13.具有寻呼功能：EMC话筒进行对各个分区寻呼，也可通过网络智能寻呼站进行分区广播寻呼及对讲。</w:t>
            </w:r>
          </w:p>
          <w:p w14:paraId="0A8FA8E9">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具有定时广播功能：可以保存、修改、添加、删除、复制及显示各个定时点，定时点对每个分区的音源分配和音量控制，播放模式选择；内置MP3播放模式选择，同时CD播放功能操作正常；在分区播放音源时，可以点击钟声，进行插入钟声播放，钟声结束后恢复播放之前的播放音源。</w:t>
            </w:r>
          </w:p>
          <w:p w14:paraId="444FA6B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15.强插寻呼；对讲功能；分组功能</w:t>
            </w:r>
          </w:p>
          <w:p w14:paraId="3EBBC3E6">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16.中、英文多种语言切换功能，支持跨网段传输，并设定网络传输格式</w:t>
            </w:r>
          </w:p>
          <w:p w14:paraId="44572D57">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17.具有多级音源优先管理功能，默认为7级优先等级</w:t>
            </w:r>
          </w:p>
          <w:p w14:paraId="5F7333D3">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18.终端断线后自动恢复断线前的播放节目</w:t>
            </w:r>
          </w:p>
          <w:p w14:paraId="619821F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19.可设定自动屏保并锁定功能，节能环保；</w:t>
            </w:r>
          </w:p>
          <w:p w14:paraId="245B9AF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20.可设定用户密码，预防非操作人员误操作</w:t>
            </w:r>
          </w:p>
          <w:p w14:paraId="6954728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21.终端断线后自动恢复断线前的播放节目</w:t>
            </w:r>
          </w:p>
          <w:p w14:paraId="67B9C65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22.主机可以对各个定时点音量大小进行独立控制</w:t>
            </w:r>
          </w:p>
          <w:p w14:paraId="5CFA944D">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23.AI摄像头绑定报警功能：支持配置终端绑定 4 路 IPC 摄像头，并可实时对终端监控画面进行寻呼、停止操作，支持启用 AI 功能，与主流 AI 摄像头绑定终端实现绊线入侵、区域入侵等行为识别自动报警功能，并支持设置选择不同报警音源</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（提供第三方权威机构出具检测合格带有CMA或CNAS标识检测报告复印件予以佐证）</w:t>
            </w:r>
          </w:p>
          <w:p w14:paraId="4F58C4B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24.多级主机广播功能：支持多级主机广播功能，一级主机可以管理二级主机的所有终端设备，新加入的网络化终端，系统会验证其电子身份，防止网络病毒入侵，从而保障系统稳定运行</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（提供第三方权威机构出具检测合格带有CMA或CNAS标识检测报告复印件予以佐证）</w:t>
            </w:r>
          </w:p>
        </w:tc>
        <w:tc>
          <w:tcPr>
            <w:tcW w:w="371" w:type="pct"/>
            <w:shd w:val="clear" w:color="auto" w:fill="auto"/>
            <w:vAlign w:val="center"/>
          </w:tcPr>
          <w:p w14:paraId="1B7F0E0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744AC85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40A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CBBA2F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5B6A4F1A">
            <w:pPr>
              <w:jc w:val="center"/>
              <w:rPr>
                <w:rFonts w:hint="eastAsia" w:ascii="仿宋" w:hAnsi="仿宋" w:eastAsia="仿宋" w:cs="仿宋"/>
                <w:color w:val="000000" w:themeColor="text1"/>
                <w:sz w:val="24"/>
                <w:szCs w:val="24"/>
                <w:lang w:eastAsia="zh-CN"/>
                <w14:textFill>
                  <w14:solidFill>
                    <w14:schemeClr w14:val="tx1"/>
                  </w14:solidFill>
                </w14:textFill>
              </w:rPr>
            </w:pPr>
          </w:p>
          <w:p w14:paraId="1264AA1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网络化智能寻呼站</w:t>
            </w:r>
          </w:p>
        </w:tc>
        <w:tc>
          <w:tcPr>
            <w:tcW w:w="2964" w:type="pct"/>
            <w:shd w:val="clear" w:color="auto" w:fill="auto"/>
            <w:vAlign w:val="center"/>
          </w:tcPr>
          <w:p w14:paraId="57D66C3D">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1.支持100/10MbpsTCP/IP网络传输协议；</w:t>
            </w:r>
          </w:p>
          <w:p w14:paraId="58035499">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2.铝合金拉丝工业面板、桌面式结构设计。</w:t>
            </w:r>
          </w:p>
          <w:p w14:paraId="12D155C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3.具有多段电平指示功能，讲话声压更直观。</w:t>
            </w:r>
          </w:p>
          <w:p w14:paraId="03D3EE1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4.内置高保真大动态范围的AGC处理电路。</w:t>
            </w:r>
          </w:p>
          <w:p w14:paraId="7460959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5.内置钟声提示音。</w:t>
            </w:r>
          </w:p>
          <w:p w14:paraId="385750B1">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6.≥7寸真彩触摸彩屏；≥3W内置监听扬声器；≥2路RCA音频输入接口；≥2组凤凰控制数据交换接口；≥1路RJ45 LAN信号交换接口；≥1路RCA AUX输出接口；≥1路3.5mm监听接口（音量可通过物理旋钮进行调节）；≥1路RCA NET输出接口；≥2路USB接口。</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（提供第三方权威机构出具检测合格带有CMA或CNAS标识检测报告复印件予以佐证）</w:t>
            </w:r>
          </w:p>
          <w:p w14:paraId="08BF6EF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7.具有音频日志记录功能，可对寻呼和对讲的内容实时录音保存，并可查阅播放。</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（提供第三方权威机构出具检测合格带有CMA或CNAS标识检测报告复印件予以佐证）</w:t>
            </w:r>
          </w:p>
          <w:p w14:paraId="330FE8D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8.具有手动快捷按键“CALL ALL”一键全开功能，实现紧急情况一键打开全部分区，快速寻呼。</w:t>
            </w:r>
          </w:p>
          <w:p w14:paraId="04638EE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9.具有分区编辑、分组编辑、对讲、语音提示，智能关闭话筒功能。</w:t>
            </w:r>
          </w:p>
          <w:p w14:paraId="7A6D890E">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10.可对网络播放终端选定寻呼、对讲功能。</w:t>
            </w:r>
          </w:p>
          <w:p w14:paraId="572FE22F">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11.智能寻呼台之间能相互寻呼、对讲。</w:t>
            </w:r>
          </w:p>
          <w:p w14:paraId="630507E7">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12.可播放网络主机节目库歌曲。</w:t>
            </w:r>
          </w:p>
          <w:p w14:paraId="530D1929">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13.具有用户密码与权限管理。</w:t>
            </w:r>
          </w:p>
          <w:p w14:paraId="388B177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14.可手动打开、关闭寻呼话筒供电。</w:t>
            </w:r>
          </w:p>
          <w:p w14:paraId="14683AC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15.具有智能屏保功能，可设置彩色显示屏屏保延时时间。</w:t>
            </w:r>
          </w:p>
        </w:tc>
        <w:tc>
          <w:tcPr>
            <w:tcW w:w="371" w:type="pct"/>
            <w:shd w:val="clear" w:color="auto" w:fill="auto"/>
            <w:vAlign w:val="center"/>
          </w:tcPr>
          <w:p w14:paraId="7DA29BE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24504E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3000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AE20A0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476225B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三十二路消防联动网络模块</w:t>
            </w:r>
          </w:p>
        </w:tc>
        <w:tc>
          <w:tcPr>
            <w:tcW w:w="2964" w:type="pct"/>
            <w:shd w:val="clear" w:color="auto" w:fill="auto"/>
            <w:vAlign w:val="center"/>
          </w:tcPr>
          <w:p w14:paraId="634A63FF">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1.本模块为网络化公共广播系统与消防中心之间的接口。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2.当接收到由消防中心发来之警报信号时，会自动激活网络化公共广播系统相应工作区进入强行插入紧急广播状态。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3.每台机有32个消防触发通道，通过主机设置，每个通道的告警分区可任意组合。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4.每个告警通道均含寻路故障检测功能，自动排查系统线路故障。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5.同一系统可以有多台机连接于网络，可任意扩展控制区域。</w:t>
            </w:r>
          </w:p>
        </w:tc>
        <w:tc>
          <w:tcPr>
            <w:tcW w:w="371" w:type="pct"/>
            <w:shd w:val="clear" w:color="auto" w:fill="auto"/>
            <w:vAlign w:val="center"/>
          </w:tcPr>
          <w:p w14:paraId="37EB10D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4FF1F4D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5375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44A244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04F0900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449020A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1.10/100M自适应，支持局域网与广域网；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2.采用高性能ARM芯片，性能稳定，运行快捷；</w:t>
            </w:r>
          </w:p>
          <w:p w14:paraId="652DDFCD">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3.可播放来自系统主机的背景音乐、紧急寻呼、告警信号等，网络节目源具有7级以上优先等级管理功能，分为背景广播业务广播、紧急广播三大类。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4.音箱采用4.5寸全频喇叭单元；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5.内置2×20W数字功放，具有副音箱接口；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6.内置2.4G无线话筒信号接收器，可使用配套无线话筒实现本地扩声功能；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7.头戴式无线话筒，支持一师一麦使用；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8.支持网页修改IP地址及其他参数或服务器远端通过升级工具修改；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9.蓝牙功能，支持手机连接后播放音乐；</w:t>
            </w:r>
          </w:p>
        </w:tc>
        <w:tc>
          <w:tcPr>
            <w:tcW w:w="371" w:type="pct"/>
            <w:shd w:val="clear" w:color="auto" w:fill="auto"/>
            <w:vAlign w:val="center"/>
          </w:tcPr>
          <w:p w14:paraId="2BEF9CE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226242A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7C57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888559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879" w:type="pct"/>
            <w:vAlign w:val="center"/>
          </w:tcPr>
          <w:p w14:paraId="6A49619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播放器</w:t>
            </w:r>
          </w:p>
        </w:tc>
        <w:tc>
          <w:tcPr>
            <w:tcW w:w="2964" w:type="pct"/>
            <w:shd w:val="clear" w:color="auto" w:fill="auto"/>
            <w:vAlign w:val="center"/>
          </w:tcPr>
          <w:p w14:paraId="153A302F">
            <w:pPr>
              <w:widowControl/>
              <w:jc w:val="left"/>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功能：</w:t>
            </w:r>
          </w:p>
          <w:p w14:paraId="78DA5633">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1.CD/MP3/VCD/DVD/WAV 播放功能</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高亮度动态 VFD 显示，清晰醒目；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2.具有曲目直选功能；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3.具有通电后自动播放功能；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b/>
                <w:bCs/>
                <w:color w:val="000000" w:themeColor="text1"/>
                <w:kern w:val="0"/>
                <w:sz w:val="24"/>
                <w:szCs w:val="24"/>
                <w14:textFill>
                  <w14:solidFill>
                    <w14:schemeClr w14:val="tx1"/>
                  </w14:solidFill>
                </w14:textFill>
              </w:rPr>
              <w:t>性能规格：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1.频率响应 20Hz-20kHz（±3dB）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2.信噪比 90dB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3.动态范围 90dB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4.谐波失真 0.005%</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抖晃 可测极限之下</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5.输出电平 0dBV</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6.保护 AC 保险丝</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7.电源 AC220V/50Hz</w:t>
            </w:r>
          </w:p>
        </w:tc>
        <w:tc>
          <w:tcPr>
            <w:tcW w:w="371" w:type="pct"/>
            <w:shd w:val="clear" w:color="auto" w:fill="auto"/>
            <w:vAlign w:val="center"/>
          </w:tcPr>
          <w:p w14:paraId="6B29D55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3EE9744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47AB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C4B46E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w:t>
            </w:r>
          </w:p>
        </w:tc>
        <w:tc>
          <w:tcPr>
            <w:tcW w:w="879" w:type="pct"/>
            <w:vAlign w:val="center"/>
          </w:tcPr>
          <w:p w14:paraId="4B2D37D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调谐器</w:t>
            </w:r>
          </w:p>
        </w:tc>
        <w:tc>
          <w:tcPr>
            <w:tcW w:w="2964" w:type="pct"/>
            <w:shd w:val="clear" w:color="auto" w:fill="auto"/>
            <w:vAlign w:val="center"/>
          </w:tcPr>
          <w:p w14:paraId="0E57D4C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功能：</w:t>
            </w:r>
          </w:p>
          <w:p w14:paraId="38C92CF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1.微电脑控制，数字调谐系统。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2.收音头以模块形式设计，可与主机分离，放置在接收信号更好的位置。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3.全轻触按键控制，VFD显示。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4.AM/FM 各40个电台存储功能。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5.具有自动搜索电台并自动存储功能。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6.具有音频信号电平指示。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7.具有断电记忆功能。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b/>
                <w:bCs/>
                <w:color w:val="000000" w:themeColor="text1"/>
                <w:kern w:val="0"/>
                <w:sz w:val="24"/>
                <w:szCs w:val="24"/>
                <w14:textFill>
                  <w14:solidFill>
                    <w14:schemeClr w14:val="tx1"/>
                  </w14:solidFill>
                </w14:textFill>
              </w:rPr>
              <w:t>性能规格：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1.接收范围 FM 87.0MHz-108.0MHz/AM 522kHz-1620kHz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2.灵敏度 FM 26dBμ/AM 52dBμ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3.信噪比 FM 单声道76dB，立体声70dB/AM 40dB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4.调谐频率步距 FM 50kHz/AM 9kHz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5.中频频率 FM 10.7MHz/AM 450kHz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6.输出电平 0dBV</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7.保护 AC保险丝</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8.电源 AC220V/50Hz</w:t>
            </w:r>
          </w:p>
        </w:tc>
        <w:tc>
          <w:tcPr>
            <w:tcW w:w="371" w:type="pct"/>
            <w:shd w:val="clear" w:color="auto" w:fill="auto"/>
            <w:vAlign w:val="center"/>
          </w:tcPr>
          <w:p w14:paraId="18CE107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345A62D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40D2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1FB9204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w:t>
            </w:r>
          </w:p>
        </w:tc>
        <w:tc>
          <w:tcPr>
            <w:tcW w:w="879" w:type="pct"/>
            <w:vAlign w:val="center"/>
          </w:tcPr>
          <w:p w14:paraId="4053916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时序电源控制器</w:t>
            </w:r>
          </w:p>
        </w:tc>
        <w:tc>
          <w:tcPr>
            <w:tcW w:w="2964" w:type="pct"/>
            <w:shd w:val="clear" w:color="auto" w:fill="auto"/>
            <w:vAlign w:val="center"/>
          </w:tcPr>
          <w:p w14:paraId="527E5D0E">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功能：</w:t>
            </w:r>
          </w:p>
          <w:p w14:paraId="6AB316C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1.按顺序开启或关闭16路受控设备的电源。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2.可以通过定时器自动控制或人工控制。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3.插座总容量达 3.5kVA。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b/>
                <w:bCs/>
                <w:color w:val="000000" w:themeColor="text1"/>
                <w:kern w:val="0"/>
                <w:sz w:val="24"/>
                <w:szCs w:val="24"/>
                <w14:textFill>
                  <w14:solidFill>
                    <w14:schemeClr w14:val="tx1"/>
                  </w14:solidFill>
                </w14:textFill>
              </w:rPr>
              <w:t>性能规格：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1.电源插座输出总容量3.5kVA，16A，16通道；每个插座最大输出为220V，10A；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2.定时器控制信号 交流220伏，0.01A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3.动作间隔时间 0.4秒-0.5秒</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4.保护 AC保险丝</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5.耗电 AC220V/50Hz/16A</w:t>
            </w:r>
          </w:p>
        </w:tc>
        <w:tc>
          <w:tcPr>
            <w:tcW w:w="371" w:type="pct"/>
            <w:shd w:val="clear" w:color="auto" w:fill="auto"/>
            <w:vAlign w:val="center"/>
          </w:tcPr>
          <w:p w14:paraId="737D7FD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309F74F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70E7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C12676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w:t>
            </w:r>
          </w:p>
        </w:tc>
        <w:tc>
          <w:tcPr>
            <w:tcW w:w="879" w:type="pct"/>
            <w:vAlign w:val="center"/>
          </w:tcPr>
          <w:p w14:paraId="1CDCB8D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广播话筒</w:t>
            </w:r>
          </w:p>
        </w:tc>
        <w:tc>
          <w:tcPr>
            <w:tcW w:w="2964" w:type="pct"/>
            <w:shd w:val="clear" w:color="auto" w:fill="auto"/>
            <w:vAlign w:val="center"/>
          </w:tcPr>
          <w:p w14:paraId="569BCDC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1.操作便捷，适应不同；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2.支持终端即插即用；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3.具有延时自动关闭功能；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4.可弯曲式话筒。话筒输出电压600mV±10mV或20mV±10%（非平衡）</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5.频率范围100Hz-15kHz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6.失真度MIC：≤1%</w:t>
            </w:r>
          </w:p>
        </w:tc>
        <w:tc>
          <w:tcPr>
            <w:tcW w:w="371" w:type="pct"/>
            <w:shd w:val="clear" w:color="auto" w:fill="auto"/>
            <w:vAlign w:val="center"/>
          </w:tcPr>
          <w:p w14:paraId="32325CE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5121FAC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0301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0ED0BAF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w:t>
            </w:r>
          </w:p>
        </w:tc>
        <w:tc>
          <w:tcPr>
            <w:tcW w:w="879" w:type="pct"/>
            <w:vAlign w:val="center"/>
          </w:tcPr>
          <w:p w14:paraId="004EB1F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UPS电源</w:t>
            </w:r>
          </w:p>
        </w:tc>
        <w:tc>
          <w:tcPr>
            <w:tcW w:w="2964" w:type="pct"/>
            <w:shd w:val="clear" w:color="auto" w:fill="auto"/>
            <w:vAlign w:val="center"/>
          </w:tcPr>
          <w:p w14:paraId="61062AF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KVA/长机，输入输出电压制式单进单出，超高的输入输出功率因数，峰值比3:1，配置5A大功率充电器，电池电压192VDC-288VDC，双变换在线式结构设计，输出功率因数高达1，高速智能DSP控制，实现完美的系统性能与保护，输入过压、短路、过温等多重保护功能，UPS备具2.7英寸的LCD/LED显示屏，管理方便</w:t>
            </w:r>
          </w:p>
        </w:tc>
        <w:tc>
          <w:tcPr>
            <w:tcW w:w="371" w:type="pct"/>
            <w:shd w:val="clear" w:color="auto" w:fill="auto"/>
            <w:vAlign w:val="center"/>
          </w:tcPr>
          <w:p w14:paraId="44AAD02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7FFFEC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27F6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AC65E5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w:t>
            </w:r>
          </w:p>
        </w:tc>
        <w:tc>
          <w:tcPr>
            <w:tcW w:w="879" w:type="pct"/>
            <w:vAlign w:val="center"/>
          </w:tcPr>
          <w:p w14:paraId="500F9DCE">
            <w:pPr>
              <w:widowControl/>
              <w:jc w:val="center"/>
              <w:rPr>
                <w:rFonts w:hint="eastAsia" w:ascii="仿宋" w:hAnsi="仿宋" w:eastAsia="仿宋" w:cs="仿宋"/>
                <w:color w:val="000000" w:themeColor="text1"/>
                <w:kern w:val="0"/>
                <w:sz w:val="24"/>
                <w:szCs w:val="24"/>
                <w:lang w:eastAsia="zh-Hans"/>
                <w14:textFill>
                  <w14:solidFill>
                    <w14:schemeClr w14:val="tx1"/>
                  </w14:solidFill>
                </w14:textFill>
              </w:rPr>
            </w:pPr>
            <w:r>
              <w:rPr>
                <w:rFonts w:hint="eastAsia" w:ascii="仿宋" w:hAnsi="仿宋" w:eastAsia="仿宋" w:cs="仿宋"/>
                <w:color w:val="000000" w:themeColor="text1"/>
                <w:kern w:val="0"/>
                <w:sz w:val="24"/>
                <w:szCs w:val="24"/>
                <w:lang w:eastAsia="zh-Hans"/>
                <w14:textFill>
                  <w14:solidFill>
                    <w14:schemeClr w14:val="tx1"/>
                  </w14:solidFill>
                </w14:textFill>
              </w:rPr>
              <w:t>电池</w:t>
            </w:r>
          </w:p>
        </w:tc>
        <w:tc>
          <w:tcPr>
            <w:tcW w:w="2964" w:type="pct"/>
            <w:shd w:val="clear" w:color="auto" w:fill="auto"/>
            <w:vAlign w:val="center"/>
          </w:tcPr>
          <w:p w14:paraId="088A292E">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1、阀控式密封铅酸蓄电池16节 12V 100AH，后备供电3小时，避免电池酸液漏出引起火灾，电池具有防渗酸液功能。</w:t>
            </w:r>
          </w:p>
          <w:p w14:paraId="28CFE6E6">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2、蓄电池生产具有重金属、化学品等危险废物污染；符合国家相关法律及环保政策要求。</w:t>
            </w:r>
          </w:p>
        </w:tc>
        <w:tc>
          <w:tcPr>
            <w:tcW w:w="371" w:type="pct"/>
            <w:shd w:val="clear" w:color="auto" w:fill="auto"/>
            <w:vAlign w:val="center"/>
          </w:tcPr>
          <w:p w14:paraId="4AD9C5D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节</w:t>
            </w:r>
          </w:p>
        </w:tc>
        <w:tc>
          <w:tcPr>
            <w:tcW w:w="440" w:type="pct"/>
            <w:shd w:val="clear" w:color="auto" w:fill="auto"/>
            <w:vAlign w:val="center"/>
          </w:tcPr>
          <w:p w14:paraId="1F87C37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r>
      <w:tr w14:paraId="4CBB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E0C1AA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w:t>
            </w:r>
          </w:p>
        </w:tc>
        <w:tc>
          <w:tcPr>
            <w:tcW w:w="879" w:type="pct"/>
            <w:vAlign w:val="center"/>
          </w:tcPr>
          <w:p w14:paraId="7E868FE0">
            <w:pPr>
              <w:widowControl/>
              <w:jc w:val="center"/>
              <w:rPr>
                <w:rFonts w:hint="eastAsia" w:ascii="仿宋" w:hAnsi="仿宋" w:eastAsia="仿宋" w:cs="仿宋"/>
                <w:color w:val="000000" w:themeColor="text1"/>
                <w:kern w:val="0"/>
                <w:sz w:val="24"/>
                <w:szCs w:val="24"/>
                <w:lang w:eastAsia="zh-Hans"/>
                <w14:textFill>
                  <w14:solidFill>
                    <w14:schemeClr w14:val="tx1"/>
                  </w14:solidFill>
                </w14:textFill>
              </w:rPr>
            </w:pPr>
            <w:r>
              <w:rPr>
                <w:rFonts w:hint="eastAsia" w:ascii="仿宋" w:hAnsi="仿宋" w:eastAsia="仿宋" w:cs="仿宋"/>
                <w:color w:val="000000" w:themeColor="text1"/>
                <w:kern w:val="0"/>
                <w:sz w:val="24"/>
                <w:szCs w:val="24"/>
                <w:lang w:eastAsia="zh-Hans"/>
                <w14:textFill>
                  <w14:solidFill>
                    <w14:schemeClr w14:val="tx1"/>
                  </w14:solidFill>
                </w14:textFill>
              </w:rPr>
              <w:t>电池箱</w:t>
            </w:r>
          </w:p>
        </w:tc>
        <w:tc>
          <w:tcPr>
            <w:tcW w:w="2964" w:type="pct"/>
            <w:shd w:val="clear" w:color="auto" w:fill="auto"/>
            <w:vAlign w:val="center"/>
          </w:tcPr>
          <w:p w14:paraId="0AB50F1A">
            <w:pPr>
              <w:pStyle w:val="1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1.材质</w:t>
            </w:r>
            <w:r>
              <w:rPr>
                <w:rFonts w:hint="eastAsia" w:ascii="仿宋" w:hAnsi="仿宋" w:eastAsia="仿宋" w:cs="仿宋"/>
                <w:color w:val="000000" w:themeColor="text1"/>
                <w:sz w:val="24"/>
                <w:szCs w:val="24"/>
                <w:lang w:eastAsia="zh-CN"/>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冷压板，电池柜结构焊接；</w:t>
            </w:r>
          </w:p>
          <w:p w14:paraId="6D968F61">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2.外观：可拆装式全开放式结构；</w:t>
            </w:r>
          </w:p>
        </w:tc>
        <w:tc>
          <w:tcPr>
            <w:tcW w:w="371" w:type="pct"/>
            <w:shd w:val="clear" w:color="auto" w:fill="auto"/>
            <w:vAlign w:val="center"/>
          </w:tcPr>
          <w:p w14:paraId="4407775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c>
          <w:tcPr>
            <w:tcW w:w="440" w:type="pct"/>
            <w:shd w:val="clear" w:color="auto" w:fill="auto"/>
            <w:vAlign w:val="center"/>
          </w:tcPr>
          <w:p w14:paraId="6D7A559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3CF6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15BBFD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w:t>
            </w:r>
          </w:p>
        </w:tc>
        <w:tc>
          <w:tcPr>
            <w:tcW w:w="879" w:type="pct"/>
            <w:vAlign w:val="center"/>
          </w:tcPr>
          <w:p w14:paraId="1D725BA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立式豪华型机柜</w:t>
            </w:r>
          </w:p>
        </w:tc>
        <w:tc>
          <w:tcPr>
            <w:tcW w:w="2964" w:type="pct"/>
            <w:shd w:val="clear" w:color="auto" w:fill="auto"/>
            <w:vAlign w:val="center"/>
          </w:tcPr>
          <w:p w14:paraId="1A1705CD">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1.符合ANSI/EIA RS-310-D、DIN41491，IEC297-2、DIN41491、PART7、GB/T3047.2-92标准。</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2.兼容19英寸国际标准、公制标准和ETSI标准。</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3.全包选用冷轧钢板制作，结构坚固，承载负荷大，完全能满足客户对此类机柜的需求。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4.板材经过严格的脱脂、酸洗、防锈磷化、纯水清洗后，静电喷塑。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5.良好的兼容性，良好的通风设计，配置有专业的散热系统和接地系统，安全可靠，能适应兼容更多的IT设备；同时安装了万向脚轮和支撑脚，移动方便，安置稳固，结构坚固。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6.机柜并柜方便、快捷。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7.配件齐全，质量可靠，上、下部走线孔配有分组盖板，前后门及侧门可容易拆装，方便工作。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8.外观：封闭焊接式设计，外观新颖高雅，美观大方，尺寸精密，极富时代气息，正门采用网格式设计，既美观又利于机器散热，机柜主体颜色有灰和黑两种；</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9.结构：模块化设计，内置有层板，拼装简易，并提供了多台机柜连接一体化快捷解决方案，机柜侧面、后面均可开门，可全方位进入查看，预留有后上下线缆入口，方便线缆管理；</w:t>
            </w:r>
          </w:p>
        </w:tc>
        <w:tc>
          <w:tcPr>
            <w:tcW w:w="371" w:type="pct"/>
            <w:shd w:val="clear" w:color="auto" w:fill="auto"/>
            <w:vAlign w:val="center"/>
          </w:tcPr>
          <w:p w14:paraId="00465C0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2645F24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2F6D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65E4B72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w:t>
            </w:r>
          </w:p>
        </w:tc>
        <w:tc>
          <w:tcPr>
            <w:tcW w:w="879" w:type="pct"/>
            <w:vAlign w:val="center"/>
          </w:tcPr>
          <w:p w14:paraId="5785D02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北斗校时终端</w:t>
            </w:r>
          </w:p>
        </w:tc>
        <w:tc>
          <w:tcPr>
            <w:tcW w:w="2964" w:type="pct"/>
            <w:shd w:val="clear" w:color="auto" w:fill="auto"/>
            <w:vAlign w:val="center"/>
          </w:tcPr>
          <w:p w14:paraId="180D0447">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1.可以设定校时时间间隔；</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2.通过BDS/GPS卫星导航系统获得校时信号；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3.接口：天线座子；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4.校时精度：30ns；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5.校时间隔：0-59min；</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6.板卡功耗：2W；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7.100Mpbs网络接口；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8.供电方式：PoE48V或12V电源适配器；</w:t>
            </w:r>
          </w:p>
        </w:tc>
        <w:tc>
          <w:tcPr>
            <w:tcW w:w="371" w:type="pct"/>
            <w:shd w:val="clear" w:color="auto" w:fill="auto"/>
            <w:vAlign w:val="center"/>
          </w:tcPr>
          <w:p w14:paraId="4669D56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52BF64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4779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25" w:type="pct"/>
            <w:gridSpan w:val="2"/>
            <w:shd w:val="clear" w:color="auto" w:fill="FABF8F"/>
            <w:vAlign w:val="center"/>
          </w:tcPr>
          <w:p w14:paraId="001FEF8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二、分控室</w:t>
            </w:r>
          </w:p>
        </w:tc>
        <w:tc>
          <w:tcPr>
            <w:tcW w:w="2964" w:type="pct"/>
            <w:shd w:val="clear" w:color="auto" w:fill="FABF8F"/>
            <w:vAlign w:val="center"/>
          </w:tcPr>
          <w:p w14:paraId="6433B011">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371" w:type="pct"/>
            <w:shd w:val="clear" w:color="auto" w:fill="FABF8F"/>
            <w:vAlign w:val="center"/>
          </w:tcPr>
          <w:p w14:paraId="2DF664F7">
            <w:pPr>
              <w:widowControl/>
              <w:jc w:val="center"/>
              <w:rPr>
                <w:rFonts w:hint="eastAsia" w:ascii="仿宋" w:hAnsi="仿宋" w:eastAsia="仿宋" w:cs="仿宋"/>
                <w:color w:val="000000" w:themeColor="text1"/>
                <w:kern w:val="0"/>
                <w:sz w:val="24"/>
                <w:szCs w:val="24"/>
                <w14:textFill>
                  <w14:solidFill>
                    <w14:schemeClr w14:val="tx1"/>
                  </w14:solidFill>
                </w14:textFill>
              </w:rPr>
            </w:pPr>
          </w:p>
        </w:tc>
        <w:tc>
          <w:tcPr>
            <w:tcW w:w="438" w:type="pct"/>
            <w:shd w:val="clear" w:color="auto" w:fill="FABF8F"/>
            <w:vAlign w:val="center"/>
          </w:tcPr>
          <w:p w14:paraId="608C2DAC">
            <w:pPr>
              <w:widowControl/>
              <w:jc w:val="center"/>
              <w:rPr>
                <w:rFonts w:hint="eastAsia" w:ascii="仿宋" w:hAnsi="仿宋" w:eastAsia="仿宋" w:cs="仿宋"/>
                <w:color w:val="000000" w:themeColor="text1"/>
                <w:kern w:val="0"/>
                <w:sz w:val="24"/>
                <w:szCs w:val="24"/>
                <w14:textFill>
                  <w14:solidFill>
                    <w14:schemeClr w14:val="tx1"/>
                  </w14:solidFill>
                </w14:textFill>
              </w:rPr>
            </w:pPr>
          </w:p>
        </w:tc>
      </w:tr>
      <w:tr w14:paraId="749C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7239D9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73E3F05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分控主机</w:t>
            </w:r>
          </w:p>
        </w:tc>
        <w:tc>
          <w:tcPr>
            <w:tcW w:w="2964" w:type="pct"/>
            <w:shd w:val="clear" w:color="auto" w:fill="auto"/>
            <w:vAlign w:val="center"/>
          </w:tcPr>
          <w:p w14:paraId="06B163DD">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1、CPU：≥国产CPU处理器，主频≥2.3G ；</w:t>
            </w:r>
          </w:p>
          <w:p w14:paraId="5E50CF34">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2、内存：≥4G DDR4 2666MHz；</w:t>
            </w:r>
          </w:p>
          <w:p w14:paraId="5D29E763">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3、硬盘：≥128G SSD ≥1T机械硬盘</w:t>
            </w:r>
          </w:p>
          <w:p w14:paraId="2B9EB794">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4、显示器：≥21.5 寸低蓝光液晶</w:t>
            </w:r>
          </w:p>
          <w:p w14:paraId="186D321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5、原厂正版Windows10系统</w:t>
            </w:r>
          </w:p>
        </w:tc>
        <w:tc>
          <w:tcPr>
            <w:tcW w:w="371" w:type="pct"/>
            <w:shd w:val="clear" w:color="auto" w:fill="auto"/>
            <w:vAlign w:val="center"/>
          </w:tcPr>
          <w:p w14:paraId="30265F2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4B1D8F7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r>
      <w:tr w14:paraId="2888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517D1B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35CB82F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网络化分控寻呼软件</w:t>
            </w:r>
          </w:p>
        </w:tc>
        <w:tc>
          <w:tcPr>
            <w:tcW w:w="2964" w:type="pct"/>
            <w:shd w:val="clear" w:color="auto" w:fill="auto"/>
            <w:vAlign w:val="center"/>
          </w:tcPr>
          <w:p w14:paraId="2DA48F9D">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1.图形人性化设计，网络播放终端显示图片可定义与更换，应用更灵活。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2.可查看网络播放终端的工作状态信息（包括在线、离线、播放、停止等信息）。</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3.可对网络播放终端分组编辑功能。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4.可下载查看程控定时点的内容，并可导入、导出定时点内容。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5.可上传本地音频节目到网络化主机，以供播放使用。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6.可远程调节网络播放终端音量，播放\停止网络播放终端等操作功能.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7.可实时远程寻呼网络播放终端。</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8.可触发紧急告警功能。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9.设置多级权限控制功能，具有网络权限授权管理功能。</w:t>
            </w:r>
          </w:p>
        </w:tc>
        <w:tc>
          <w:tcPr>
            <w:tcW w:w="371" w:type="pct"/>
            <w:shd w:val="clear" w:color="auto" w:fill="auto"/>
            <w:vAlign w:val="center"/>
          </w:tcPr>
          <w:p w14:paraId="1D26468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06CE11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r>
      <w:tr w14:paraId="3D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0A95960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04C7617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网络化智能寻呼站</w:t>
            </w:r>
          </w:p>
        </w:tc>
        <w:tc>
          <w:tcPr>
            <w:tcW w:w="2964" w:type="pct"/>
            <w:shd w:val="clear" w:color="auto" w:fill="auto"/>
            <w:vAlign w:val="center"/>
          </w:tcPr>
          <w:p w14:paraId="3110F27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1.支持100/10Mbps自适应TCP/IP网络传输协议；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2.采用7寸真彩触摸彩屏、铝合金拉丝工业面板设计。</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3.桌面式结构设计。</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4.采用高保真与手持式动圈话筒设计。</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5.具有多段电平指示功能，讲话声压更直观。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6.带有手动快捷按键，方便紧要时快速寻呼。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7.内置3W监听扬声器，方便预听节目与对讲使用。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8.具有一路线路输入（可扩展外置节目源、无线话筒等接入），一路本地线路输出（可脱机输出本地功放寻呼），一路辅助线路输出（扩展监听功率）。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9.图形人性化设计，显示内容更直观。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10.内置高保真大动态范围的AGC处理电路。</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11.内置高性能DSP声音处理电路。</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12.采用嵌入式实时系统平台，采用高性能ARM处理器。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13.可对网络播放终端分组编辑。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14.内置钟声提示音。</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15.可对网络播放终端选定寻呼、对讲功能。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16.智能寻呼台之间能相互寻呼、对讲。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17.可播放网络主机节目库歌曲。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18.具有音频日志记录功能，可对寻呼的内容实时寻音记录，并可播放查阅。</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19.具有用户密码与权限管理。</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20.具有自动智能关闭话筒功能，可设定发话者延时关闭寻呼时间。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23.可手动打开、关闭寻呼话筒供电。</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24.具有智能屏保功能，可设置彩色显示屏屏保延时时间。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25.可设定网络传输通讯模式。</w:t>
            </w:r>
          </w:p>
        </w:tc>
        <w:tc>
          <w:tcPr>
            <w:tcW w:w="371" w:type="pct"/>
            <w:shd w:val="clear" w:color="auto" w:fill="auto"/>
            <w:vAlign w:val="center"/>
          </w:tcPr>
          <w:p w14:paraId="7232BC4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1F6E1C6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r>
      <w:tr w14:paraId="6ABA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697B8B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30F8C31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0F1AC3BF">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1.10/100M自适应，支持局域网与广域网；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2.采用高性能ARM芯片，性能稳定，运行快捷；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3.可播放来自系统主机的背景音乐、紧急寻呼、告警信号等，网络节目源具有7级以上优先等级管理功能，分为背景广播业务广播、紧急广播三大类。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4.音箱采用4.5寸全频喇叭单元；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5.内置2×20W数字功放，具有副音箱接口；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6.内置2.4G无线话筒信号接收器，可使用配套无线话筒实现本地扩声功能；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7.头戴式无线话筒，支持一师一麦使用；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8.支持网页修改IP地址及其他参数或服务器远端通过升级工具修改；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9.蓝牙功能，支持手机连接后播放音乐；</w:t>
            </w:r>
          </w:p>
        </w:tc>
        <w:tc>
          <w:tcPr>
            <w:tcW w:w="371" w:type="pct"/>
            <w:shd w:val="clear" w:color="auto" w:fill="auto"/>
            <w:vAlign w:val="center"/>
          </w:tcPr>
          <w:p w14:paraId="10D41DB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348529E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r>
      <w:tr w14:paraId="3906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605A3D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879" w:type="pct"/>
            <w:vAlign w:val="center"/>
          </w:tcPr>
          <w:p w14:paraId="7EA8070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立式豪华型机柜</w:t>
            </w:r>
          </w:p>
        </w:tc>
        <w:tc>
          <w:tcPr>
            <w:tcW w:w="2964" w:type="pct"/>
            <w:shd w:val="clear" w:color="auto" w:fill="auto"/>
            <w:vAlign w:val="center"/>
          </w:tcPr>
          <w:p w14:paraId="67DDF33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1.符合ANSI/EIA RS-310-D、DIN41491，IEC297-2、DIN41491、PART7、GB/T3047.2-92标准。</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2.兼容19英寸国际标准、公制标准和ETSI标准。</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3.全包选用轧钢板制作，结构坚固，承载负荷大，完全能满足客户对此类机柜的需求。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4.板材经过严格的脱脂、酸洗、防锈磷化、纯水清洗后，静电喷塑。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5.良好的兼容性，良好的通风设计，配置有专业的散热系统和接地系统，安全可靠，能适应兼容更多的IT设备；同时安装了万向脚轮和支撑脚，移动方便，安置稳固，结构坚固。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6.机柜并柜方便、快捷。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7.配件齐全，质量可靠，上、下部走线孔配有分组盖板，前后门及侧门可容易拆装，方便工作。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8.外观：封闭焊接式设计，外观新颖高雅，美观大方，尺寸精密，极富时代气息，正门采用网格式设计，既美观又利于机器散热，机柜主体颜色有灰和黑两种；</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9.结构：模块化设计，内置有层板，拼装简易，并提供了多台机柜连接一体化快捷解决方案，机柜侧面、后面均可开门，可全方位进入查看，预留有后上下线缆入口，方便线缆管理；</w:t>
            </w:r>
          </w:p>
        </w:tc>
        <w:tc>
          <w:tcPr>
            <w:tcW w:w="371" w:type="pct"/>
            <w:shd w:val="clear" w:color="auto" w:fill="auto"/>
            <w:vAlign w:val="center"/>
          </w:tcPr>
          <w:p w14:paraId="48C813E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3EAFF14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r>
      <w:tr w14:paraId="366F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25" w:type="pct"/>
            <w:gridSpan w:val="2"/>
            <w:shd w:val="clear" w:color="auto" w:fill="FABF8F"/>
            <w:vAlign w:val="center"/>
          </w:tcPr>
          <w:p w14:paraId="55D233A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三、终端</w:t>
            </w:r>
          </w:p>
        </w:tc>
        <w:tc>
          <w:tcPr>
            <w:tcW w:w="2964" w:type="pct"/>
            <w:shd w:val="clear" w:color="auto" w:fill="FABF8F"/>
            <w:vAlign w:val="center"/>
          </w:tcPr>
          <w:p w14:paraId="7C14B8E0">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371" w:type="pct"/>
            <w:shd w:val="clear" w:color="auto" w:fill="FABF8F"/>
            <w:vAlign w:val="center"/>
          </w:tcPr>
          <w:p w14:paraId="42056B73">
            <w:pPr>
              <w:widowControl/>
              <w:jc w:val="center"/>
              <w:rPr>
                <w:rFonts w:hint="eastAsia" w:ascii="仿宋" w:hAnsi="仿宋" w:eastAsia="仿宋" w:cs="仿宋"/>
                <w:color w:val="000000" w:themeColor="text1"/>
                <w:kern w:val="0"/>
                <w:sz w:val="24"/>
                <w:szCs w:val="24"/>
                <w14:textFill>
                  <w14:solidFill>
                    <w14:schemeClr w14:val="tx1"/>
                  </w14:solidFill>
                </w14:textFill>
              </w:rPr>
            </w:pPr>
          </w:p>
        </w:tc>
        <w:tc>
          <w:tcPr>
            <w:tcW w:w="438" w:type="pct"/>
            <w:shd w:val="clear" w:color="auto" w:fill="FABF8F"/>
            <w:vAlign w:val="center"/>
          </w:tcPr>
          <w:p w14:paraId="64F80134">
            <w:pPr>
              <w:widowControl/>
              <w:jc w:val="center"/>
              <w:rPr>
                <w:rFonts w:hint="eastAsia" w:ascii="仿宋" w:hAnsi="仿宋" w:eastAsia="仿宋" w:cs="仿宋"/>
                <w:color w:val="000000" w:themeColor="text1"/>
                <w:kern w:val="0"/>
                <w:sz w:val="24"/>
                <w:szCs w:val="24"/>
                <w14:textFill>
                  <w14:solidFill>
                    <w14:schemeClr w14:val="tx1"/>
                  </w14:solidFill>
                </w14:textFill>
              </w:rPr>
            </w:pPr>
          </w:p>
        </w:tc>
      </w:tr>
      <w:tr w14:paraId="0F50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727D8F2E">
            <w:pPr>
              <w:widowControl/>
              <w:jc w:val="center"/>
              <w:rPr>
                <w:rFonts w:hint="eastAsia" w:ascii="仿宋" w:hAnsi="仿宋" w:eastAsia="仿宋" w:cs="仿宋"/>
                <w:color w:val="000000" w:themeColor="text1"/>
                <w:kern w:val="0"/>
                <w:sz w:val="24"/>
                <w:szCs w:val="24"/>
                <w14:textFill>
                  <w14:solidFill>
                    <w14:schemeClr w14:val="tx1"/>
                  </w14:solidFill>
                </w14:textFill>
              </w:rPr>
            </w:pPr>
          </w:p>
        </w:tc>
        <w:tc>
          <w:tcPr>
            <w:tcW w:w="879" w:type="pct"/>
            <w:shd w:val="clear" w:color="auto" w:fill="FABF8F"/>
            <w:vAlign w:val="center"/>
          </w:tcPr>
          <w:p w14:paraId="6E0EE3B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图书馆</w:t>
            </w:r>
          </w:p>
        </w:tc>
        <w:tc>
          <w:tcPr>
            <w:tcW w:w="2964" w:type="pct"/>
            <w:shd w:val="clear" w:color="auto" w:fill="FABF8F"/>
            <w:vAlign w:val="center"/>
          </w:tcPr>
          <w:p w14:paraId="2C8CA7CA">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371" w:type="pct"/>
            <w:shd w:val="clear" w:color="auto" w:fill="FABF8F"/>
            <w:vAlign w:val="center"/>
          </w:tcPr>
          <w:p w14:paraId="2B0DBBC3">
            <w:pPr>
              <w:widowControl/>
              <w:jc w:val="center"/>
              <w:rPr>
                <w:rFonts w:hint="eastAsia" w:ascii="仿宋" w:hAnsi="仿宋" w:eastAsia="仿宋" w:cs="仿宋"/>
                <w:color w:val="000000" w:themeColor="text1"/>
                <w:kern w:val="0"/>
                <w:sz w:val="24"/>
                <w:szCs w:val="24"/>
                <w14:textFill>
                  <w14:solidFill>
                    <w14:schemeClr w14:val="tx1"/>
                  </w14:solidFill>
                </w14:textFill>
              </w:rPr>
            </w:pPr>
          </w:p>
        </w:tc>
        <w:tc>
          <w:tcPr>
            <w:tcW w:w="440" w:type="pct"/>
            <w:shd w:val="clear" w:color="auto" w:fill="FABF8F"/>
            <w:vAlign w:val="center"/>
          </w:tcPr>
          <w:p w14:paraId="48E8F757">
            <w:pPr>
              <w:widowControl/>
              <w:jc w:val="center"/>
              <w:rPr>
                <w:rFonts w:hint="eastAsia" w:ascii="仿宋" w:hAnsi="仿宋" w:eastAsia="仿宋" w:cs="仿宋"/>
                <w:color w:val="000000" w:themeColor="text1"/>
                <w:kern w:val="0"/>
                <w:sz w:val="24"/>
                <w:szCs w:val="24"/>
                <w14:textFill>
                  <w14:solidFill>
                    <w14:schemeClr w14:val="tx1"/>
                  </w14:solidFill>
                </w14:textFill>
              </w:rPr>
            </w:pPr>
          </w:p>
        </w:tc>
      </w:tr>
      <w:tr w14:paraId="0A46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DCFD9D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67E4B60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283B10C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1.10/100M自适应，支持局域网与广域网；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2.采用高性能ARM芯片，性能稳定，运行快捷；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3.可播放来自系统主机的背景音乐、紧急寻呼、告警信号等，网络节目源具有7级以上优先等级管理功能，分为背景广播业务广播、紧急广播三大类。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4.音箱采用4.5寸全频喇叭单元；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5.内置2×20W数字功放，具有副音箱接口；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6.内置2.4G无线话筒信号接收器，可使用配套无线话筒实现本地扩声功能；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7.头戴式无线话筒，支持一师一麦使用；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8.支持网页修改IP地址及其他参数或服务器远端通过升级工具修改；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9.蓝牙功能，支持手机连接后播放音乐；</w:t>
            </w:r>
          </w:p>
        </w:tc>
        <w:tc>
          <w:tcPr>
            <w:tcW w:w="371" w:type="pct"/>
            <w:shd w:val="clear" w:color="auto" w:fill="auto"/>
            <w:vAlign w:val="center"/>
          </w:tcPr>
          <w:p w14:paraId="7CFEF98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5CB7B77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w:t>
            </w:r>
          </w:p>
        </w:tc>
      </w:tr>
      <w:tr w14:paraId="2D2F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9319EC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5B02EDB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网络化室内副音箱</w:t>
            </w:r>
          </w:p>
        </w:tc>
        <w:tc>
          <w:tcPr>
            <w:tcW w:w="2964" w:type="pct"/>
            <w:shd w:val="clear" w:color="auto" w:fill="auto"/>
            <w:vAlign w:val="center"/>
          </w:tcPr>
          <w:p w14:paraId="2DDFC02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1.纤维板制造，箱振小，声音清晰、明亮；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2.箱体配有壁挂孔片，安装便捷；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3.额定阻抗4Ω，额定功率20W；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4.灵敏度88±2dB，最大声压级98±3dB，有效频率范围120Hz-12kHz 。</w:t>
            </w:r>
          </w:p>
        </w:tc>
        <w:tc>
          <w:tcPr>
            <w:tcW w:w="371" w:type="pct"/>
            <w:shd w:val="clear" w:color="auto" w:fill="auto"/>
            <w:vAlign w:val="center"/>
          </w:tcPr>
          <w:p w14:paraId="7BDAAC5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0F129D9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w:t>
            </w:r>
          </w:p>
        </w:tc>
      </w:tr>
      <w:tr w14:paraId="670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0D485A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7C6DE99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12973A6D">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4EA9290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4A97218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29</w:t>
            </w:r>
          </w:p>
        </w:tc>
      </w:tr>
      <w:tr w14:paraId="26DB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402963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5275EA7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1B0DE6AA">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 定压输出，效率高达 90%以上。自带 MP3 播放器，设有 USB 插口、SD 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5.功放最大输出功率为500W。醒目的数码显示屏设计，既可显示时钟时间，也可显示播放进度时间。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 5 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 8 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 SD 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 AUX 线路输入、一路话筒输入、一路 AUX 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 EMC 24V 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 86 盒点播彩屏，可外接双 86 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 86 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 86 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 AUX 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 100V 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 7 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 CD 音质的解码芯片，最大支持 48KHZ 采样率 16bit 的 MP3/WMA/WAV/PCM 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 DSP 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 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30.可通过网络设置网络音源、本地线路音源、本地话筒音源三者的音源优先等级及优先深度。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7F56C9C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3F87656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1E0D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52256DB7">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73A8CE63">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初一教学楼</w:t>
            </w:r>
          </w:p>
        </w:tc>
        <w:tc>
          <w:tcPr>
            <w:tcW w:w="2964" w:type="pct"/>
            <w:shd w:val="clear" w:color="auto" w:fill="FABF8F"/>
            <w:vAlign w:val="center"/>
          </w:tcPr>
          <w:p w14:paraId="699AC032">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70CC38AC">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65A7031C">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7C89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696E56F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361B303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5DC2A02A">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1.10/100M自适应，支持局域网与广域网；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2.采用高性能ARM芯片，性能稳定，运行快捷；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3.可播放来自系统主机的背景音乐、紧急寻呼、告警信号等，网络节目源具有7级以上优先等级管理功能，分为背景广播业务广播、紧急广播三大类。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4.音箱采用4.5寸全频喇叭单元；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5.内置2×20W数字功放，具有副音箱接口；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6.内置2.4G无线话筒信号接收器，可使用配套无线话筒实现本地扩声功能；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7.头戴式无线话筒，支持一师一麦使用；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8.支持网页修改IP地址及其他参数或服务器远端通过升级工具修改；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9.蓝牙功能，支持手机连接后播放音乐；</w:t>
            </w:r>
          </w:p>
        </w:tc>
        <w:tc>
          <w:tcPr>
            <w:tcW w:w="371" w:type="pct"/>
            <w:shd w:val="clear" w:color="auto" w:fill="auto"/>
            <w:vAlign w:val="center"/>
          </w:tcPr>
          <w:p w14:paraId="0E875DD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7A27371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r>
      <w:tr w14:paraId="0D2A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96BF22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0E2025E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网络化室内副音箱</w:t>
            </w:r>
          </w:p>
        </w:tc>
        <w:tc>
          <w:tcPr>
            <w:tcW w:w="2964" w:type="pct"/>
            <w:shd w:val="clear" w:color="auto" w:fill="auto"/>
            <w:vAlign w:val="center"/>
          </w:tcPr>
          <w:p w14:paraId="1FB42F53">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1.纤维板制造，箱振小，声音清晰、明亮；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2.箱体配有壁挂孔片，安装便捷；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3.额定阻抗4Ω，额定功率20W；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4.灵敏度88±2dB，最大声压级98±3dB，有效频率范围120Hz-12kHz 。</w:t>
            </w:r>
          </w:p>
        </w:tc>
        <w:tc>
          <w:tcPr>
            <w:tcW w:w="371" w:type="pct"/>
            <w:shd w:val="clear" w:color="auto" w:fill="auto"/>
            <w:vAlign w:val="center"/>
          </w:tcPr>
          <w:p w14:paraId="5E88373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2ABB8F2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r>
      <w:tr w14:paraId="6F9D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F34DB4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502AB01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15F5BF0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0FAD261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0099FD1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w:t>
            </w:r>
          </w:p>
        </w:tc>
      </w:tr>
      <w:tr w14:paraId="3824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12D6F4A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02C42C0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5FFD99C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1.采用醒目的数码显示屏设计，既可显示时钟时间，也可显示播放进度时间；</w:t>
            </w:r>
          </w:p>
          <w:p w14:paraId="1F004CB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2.采用双网络接口冗余设计，支持100M/10M 自适应TCP/IP网络传输协议，支持跨网段工作；</w:t>
            </w:r>
          </w:p>
          <w:p w14:paraId="698BECE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3.具有短路保护、过流保护、过热保护等多种故障保护和告警功能；</w:t>
            </w:r>
          </w:p>
          <w:p w14:paraId="380B833A">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4.具有1路辅助线路输入接口，2路话筒输入接口，1路辅助线路输出接口，1路USB接口，1路SD卡槽，自带MP3播放器，可脱机播放U盘和SD卡歌曲；</w:t>
            </w:r>
          </w:p>
          <w:p w14:paraId="2CB61BD7">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5.具有EMC紧急24V输出接口与SC短路输出接口两种输出接口，可实现消防强插、控制电源开关等触发方案，触发方式可编辑；</w:t>
            </w:r>
          </w:p>
          <w:p w14:paraId="6156E3CA">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6.内置≥350W高保真数字功放，100V定压输出，低功耗设计，声音优美；</w:t>
            </w:r>
          </w:p>
          <w:p w14:paraId="5D6DB0AC">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7.具有接受主机的控制命令，并实施相应操作的功能，实现分区广播、定时广播、分区寻呼、分区告警等功能；</w:t>
            </w:r>
          </w:p>
          <w:p w14:paraId="541F8CBA">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8.支持100V定压输入，在断网或断电的故障情况下，能自动切换到100V定压备份通道；</w:t>
            </w:r>
          </w:p>
          <w:p w14:paraId="5966980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9.具有点播功能：接上网络化点播面板，可以点播网络化广播中心的音源；</w:t>
            </w:r>
          </w:p>
          <w:p w14:paraId="4FE34A4A">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10.具有蓝牙功能：接上网络化蓝牙麦克风控制面板后，可进行蓝牙播放；</w:t>
            </w:r>
          </w:p>
          <w:p w14:paraId="423A373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11.总谐波失真：≤0.14%；增益限制的有效频率范围：54-14Khz；信噪比：≥82dB；最大不失真功率：≥358dB</w:t>
            </w:r>
            <w:r>
              <w:rPr>
                <w:rFonts w:hint="eastAsia" w:ascii="仿宋" w:hAnsi="仿宋" w:eastAsia="仿宋" w:cs="仿宋"/>
                <w:b/>
                <w:bCs/>
                <w:color w:val="000000" w:themeColor="text1"/>
                <w:kern w:val="0"/>
                <w:sz w:val="24"/>
                <w:szCs w:val="24"/>
                <w14:textFill>
                  <w14:solidFill>
                    <w14:schemeClr w14:val="tx1"/>
                  </w14:solidFill>
                </w14:textFill>
              </w:rPr>
              <w:t>（提供根据GB/T 12060.3-2011声系统设备关于声频放大器测量方法检测合格的检测报告复印件予以佐证）。</w:t>
            </w:r>
          </w:p>
        </w:tc>
        <w:tc>
          <w:tcPr>
            <w:tcW w:w="371" w:type="pct"/>
            <w:shd w:val="clear" w:color="auto" w:fill="auto"/>
            <w:vAlign w:val="center"/>
          </w:tcPr>
          <w:p w14:paraId="4E65AC1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2D890B5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1C29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0A6AA7E1">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39B647D4">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初二教学楼</w:t>
            </w:r>
          </w:p>
        </w:tc>
        <w:tc>
          <w:tcPr>
            <w:tcW w:w="2964" w:type="pct"/>
            <w:shd w:val="clear" w:color="auto" w:fill="FABF8F"/>
            <w:vAlign w:val="center"/>
          </w:tcPr>
          <w:p w14:paraId="65547133">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73879900">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34058F49">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0E83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C882C9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76BB989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41A3A06E">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1.10/100M自适应，支持局域网与广域网；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2.采用高性能ARM芯片，性能稳定，运行快捷；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3.可播放来自系统主机的背景音乐、紧急寻呼、告警信号等，网络节目源具有7级以上优先等级管理功能，分为背景广播业务广播、紧急广播三大类。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4.音箱采用4.5寸全频喇叭单元；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5.内置2×20W数字功放，具有副音箱接口；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6.内置2.4G无线话筒信号接收器，可使用配套无线话筒实现本地扩声功能；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7.头戴式无线话筒，支持一师一麦使用；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8.支持网页修改IP地址及其他参数或服务器远端通过升级工具修改；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9.蓝牙功能，支持手机连接后播放音乐；</w:t>
            </w:r>
          </w:p>
        </w:tc>
        <w:tc>
          <w:tcPr>
            <w:tcW w:w="371" w:type="pct"/>
            <w:shd w:val="clear" w:color="auto" w:fill="auto"/>
            <w:vAlign w:val="center"/>
          </w:tcPr>
          <w:p w14:paraId="3D4E645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036C494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r>
      <w:tr w14:paraId="72C9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6C78A7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501B4D9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网络化室内副音箱</w:t>
            </w:r>
          </w:p>
        </w:tc>
        <w:tc>
          <w:tcPr>
            <w:tcW w:w="2964" w:type="pct"/>
            <w:shd w:val="clear" w:color="auto" w:fill="auto"/>
            <w:vAlign w:val="center"/>
          </w:tcPr>
          <w:p w14:paraId="0542076C">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1.纤维板制造，箱振小，声音清晰、明亮；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2.箱体配有壁挂孔片，安装便捷；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3.额定阻抗4Ω，额定功率20W；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4.灵敏度88±2dB，最大声压级98±3dB，有效频率范围120Hz-12kHz 。</w:t>
            </w:r>
          </w:p>
        </w:tc>
        <w:tc>
          <w:tcPr>
            <w:tcW w:w="371" w:type="pct"/>
            <w:shd w:val="clear" w:color="auto" w:fill="auto"/>
            <w:vAlign w:val="center"/>
          </w:tcPr>
          <w:p w14:paraId="512362B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558E23C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r>
      <w:tr w14:paraId="7842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4B5C34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128D3C3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57B5EB8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7918C97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46F6DCD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w:t>
            </w:r>
          </w:p>
        </w:tc>
      </w:tr>
      <w:tr w14:paraId="62DB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443E3F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2853DBC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058B61D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 定压输出，效率高达 90%以上。自带 MP3 播放器，设有 USB 插口、SD 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5.功放最大输出功率为350W。醒目的数码显示屏设计，既可显示时钟时间，也可显示播放进度时间。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 5 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 8 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 SD 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 AUX 线路输入、一路话筒输入、一路 AUX 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 EMC 24V 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 86 盒点播彩屏，可外接双 86 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 86 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 86 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 AUX 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 100V 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 7 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 CD 音质的解码芯片，最大支持 48KHZ 采样率 16bit 的 MP3/WMA/WAV/PCM 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 DSP 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 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30.可通过网络设置网络音源、本地线路音源、本地话筒音源三者的音源优先等级及优先深度。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4F34154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1C21C8F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53B8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25724AE7">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6E183271">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初三教学楼</w:t>
            </w:r>
          </w:p>
        </w:tc>
        <w:tc>
          <w:tcPr>
            <w:tcW w:w="2964" w:type="pct"/>
            <w:shd w:val="clear" w:color="auto" w:fill="FABF8F"/>
            <w:vAlign w:val="center"/>
          </w:tcPr>
          <w:p w14:paraId="7F4E943F">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049A382A">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2B695FBA">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4BA8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1D6E4A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7EE72BF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0D2709B1">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1.10/100M自适应，支持局域网与广域网；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2.采用高性能ARM芯片，性能稳定，运行快捷；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3.可播放来自系统主机的背景音乐、紧急寻呼、告警信号等，网络节目源具有7级以上优先等级管理功能，分为背景广播业务广播、紧急广播三大类。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4.音箱采用4.5寸全频喇叭单元；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5.内置2×20W数字功放，具有副音箱接口；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6.内置2.4G无线话筒信号接收器，可使用配套无线话筒实现本地扩声功能；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7.头戴式无线话筒，支持一师一麦使用；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8.支持网页修改IP地址及其他参数或服务器远端通过升级工具修改；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9.蓝牙功能，支持手机连接后播放音乐；</w:t>
            </w:r>
          </w:p>
        </w:tc>
        <w:tc>
          <w:tcPr>
            <w:tcW w:w="371" w:type="pct"/>
            <w:shd w:val="clear" w:color="auto" w:fill="auto"/>
            <w:vAlign w:val="center"/>
          </w:tcPr>
          <w:p w14:paraId="2DAB803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2762078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r>
      <w:tr w14:paraId="01EF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8164E5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689B53C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网络化室内副音箱</w:t>
            </w:r>
          </w:p>
        </w:tc>
        <w:tc>
          <w:tcPr>
            <w:tcW w:w="2964" w:type="pct"/>
            <w:shd w:val="clear" w:color="auto" w:fill="auto"/>
            <w:vAlign w:val="center"/>
          </w:tcPr>
          <w:p w14:paraId="5D17227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1.纤维板制造，箱振小，声音清晰、明亮；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2.箱体配有壁挂孔片，安装便捷；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3.额定阻抗4Ω，额定功率20W；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4.灵敏度88±2dB，最大声压级98±3dB，有效频率范围120Hz-12kHz 。</w:t>
            </w:r>
          </w:p>
        </w:tc>
        <w:tc>
          <w:tcPr>
            <w:tcW w:w="371" w:type="pct"/>
            <w:shd w:val="clear" w:color="auto" w:fill="auto"/>
            <w:vAlign w:val="center"/>
          </w:tcPr>
          <w:p w14:paraId="5B924D1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16A4D3C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r>
      <w:tr w14:paraId="4EC0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6928E1B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7FDBA9A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1450E711">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7EBD317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3B1FAE9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w:t>
            </w:r>
          </w:p>
        </w:tc>
      </w:tr>
      <w:tr w14:paraId="5D1B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1F72E4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6C969E1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2916F10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5.功放最大输出功率为350W。醒目的数码显示屏设计，既可显示时钟时间，也可显示播放进度时间。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30.可通过网络设置网络音源、本地线路音源、本地话筒音源三者的音源优先等级及优先深度。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7028EF3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D6DAC6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17D4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7C374469">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284B8BEC">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高三教学楼</w:t>
            </w:r>
          </w:p>
        </w:tc>
        <w:tc>
          <w:tcPr>
            <w:tcW w:w="2964" w:type="pct"/>
            <w:shd w:val="clear" w:color="auto" w:fill="FABF8F"/>
            <w:vAlign w:val="center"/>
          </w:tcPr>
          <w:p w14:paraId="4A9A7191">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2203A2B7">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0086148F">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785E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14DD19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41B197B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482CC66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1.10/100M自适应，支持局域网与广域网；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2.采用高性能ARM芯片，性能稳定，运行快捷；</w:t>
            </w:r>
          </w:p>
          <w:p w14:paraId="256A3BB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3.可播放来自系统主机的背景音乐、紧急寻呼、告警信号等，网络节目源具有7级以上优先等级管理功能，分为背景广播业务广播、紧急广播三大类。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4.音箱采用4.5寸全频喇叭单元；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5.内置2×20W数字功放，具有副音箱接口；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6.内置2.4G无线话筒信号接收器，可使用配套无线话筒实现本地扩声功能；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7.头戴式无线话筒，支持一师一麦使用；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8.支持网页修改IP地址及其他参数或服务器远端通过升级工具修改；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9.蓝牙功能，支持手机连接后播放音乐；</w:t>
            </w:r>
          </w:p>
        </w:tc>
        <w:tc>
          <w:tcPr>
            <w:tcW w:w="371" w:type="pct"/>
            <w:shd w:val="clear" w:color="auto" w:fill="auto"/>
            <w:vAlign w:val="center"/>
          </w:tcPr>
          <w:p w14:paraId="7782396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59E1987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w:t>
            </w:r>
          </w:p>
        </w:tc>
      </w:tr>
      <w:tr w14:paraId="4E42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6CE01E2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55D0F35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网络化室内副音箱</w:t>
            </w:r>
          </w:p>
        </w:tc>
        <w:tc>
          <w:tcPr>
            <w:tcW w:w="2964" w:type="pct"/>
            <w:shd w:val="clear" w:color="auto" w:fill="auto"/>
            <w:vAlign w:val="center"/>
          </w:tcPr>
          <w:p w14:paraId="3257D5B7">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1.纤维板制造，箱振小，声音清晰、明亮；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2.箱体配有壁挂孔片，安装便捷；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3.额定阻抗4Ω，额定功率20W；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4.灵敏度88±2dB，最大声压级98±3dB，有效频率范围120Hz-12kHz 。</w:t>
            </w:r>
          </w:p>
        </w:tc>
        <w:tc>
          <w:tcPr>
            <w:tcW w:w="371" w:type="pct"/>
            <w:shd w:val="clear" w:color="auto" w:fill="auto"/>
            <w:vAlign w:val="center"/>
          </w:tcPr>
          <w:p w14:paraId="6EAE90F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39FD2D0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w:t>
            </w:r>
          </w:p>
        </w:tc>
      </w:tr>
      <w:tr w14:paraId="5376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C9F31C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2B56F0C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3EA6EA0C">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246DAF3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1EE8B20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w:t>
            </w:r>
          </w:p>
        </w:tc>
      </w:tr>
      <w:tr w14:paraId="3C68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99CB17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036D66C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705E9F4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5.功放最大输出功率为350W。醒目的数码显示屏设计，既可显示时钟时间，也可显示播放进度时间。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30.可通过网络设置网络音源、本地线路音源、本地话筒音源三者的音源优先等级及优先深度。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791045B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004EA9C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017E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5ECDA778">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3DEB7100">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高二教学楼</w:t>
            </w:r>
          </w:p>
        </w:tc>
        <w:tc>
          <w:tcPr>
            <w:tcW w:w="2964" w:type="pct"/>
            <w:shd w:val="clear" w:color="auto" w:fill="FABF8F"/>
            <w:vAlign w:val="center"/>
          </w:tcPr>
          <w:p w14:paraId="66C027D6">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74C538BF">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4D1EE8D4">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4A97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0ED534F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1525E57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2F94DCF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1.10/100M自适应，支持局域网与广域网；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2.采用高性能ARM芯片，性能稳定，运行快捷；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3.可播放来自系统主机的背景音乐、紧急寻呼、告警信号等，网络节目源具有7级以上优先等级管理功能，分为背景广播业务广播、紧急广播三大类。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4.音箱采用4.5寸全频喇叭单元；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5.内置2×20W数字功放，具有副音箱接口；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6.内置2.4G无线话筒信号接收器，可使用配套无线话筒实现本地扩声功能；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7.头戴式无线话筒，支持一师一麦使用；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8.支持网页修改IP地址及其他参数或服务器远端通过升级工具修改；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9.蓝牙功能，支持手机连接后播放音乐；</w:t>
            </w:r>
          </w:p>
        </w:tc>
        <w:tc>
          <w:tcPr>
            <w:tcW w:w="371" w:type="pct"/>
            <w:shd w:val="clear" w:color="auto" w:fill="auto"/>
            <w:vAlign w:val="center"/>
          </w:tcPr>
          <w:p w14:paraId="7CECA1E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1D0BF60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w:t>
            </w:r>
          </w:p>
        </w:tc>
      </w:tr>
      <w:tr w14:paraId="2C67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0853C1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11E7804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网络化室内副音箱</w:t>
            </w:r>
          </w:p>
        </w:tc>
        <w:tc>
          <w:tcPr>
            <w:tcW w:w="2964" w:type="pct"/>
            <w:shd w:val="clear" w:color="auto" w:fill="auto"/>
            <w:vAlign w:val="center"/>
          </w:tcPr>
          <w:p w14:paraId="2C9EF239">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1.纤维板制造，箱振小，声音清晰、明亮；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2.箱体配有壁挂孔片，安装便捷；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3.额定阻抗4Ω，额定功率20W；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4.灵敏度88±2dB，最大声压级98±3dB，有效频率范围120Hz-12kHz 。</w:t>
            </w:r>
          </w:p>
        </w:tc>
        <w:tc>
          <w:tcPr>
            <w:tcW w:w="371" w:type="pct"/>
            <w:shd w:val="clear" w:color="auto" w:fill="auto"/>
            <w:vAlign w:val="center"/>
          </w:tcPr>
          <w:p w14:paraId="68BF49C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0D7D2AD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w:t>
            </w:r>
          </w:p>
        </w:tc>
      </w:tr>
      <w:tr w14:paraId="20D2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9BDC29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11D3D9F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68F397CF">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6413D76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683BB09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w:t>
            </w:r>
          </w:p>
        </w:tc>
      </w:tr>
      <w:tr w14:paraId="6A12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9A0FB9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30A3DC3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34F8501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5.功放最大输出功率为350W。醒目的数码显示屏设计，既可显示时钟时间，也可显示播放进度时间。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30.可通过网络设置网络音源、本地线路音源、本地话筒音源三者的音源优先等级及优先深度。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3525157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AB535E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0091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3189924E">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420B0943">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高一教学楼</w:t>
            </w:r>
          </w:p>
        </w:tc>
        <w:tc>
          <w:tcPr>
            <w:tcW w:w="2964" w:type="pct"/>
            <w:shd w:val="clear" w:color="auto" w:fill="FABF8F"/>
            <w:vAlign w:val="center"/>
          </w:tcPr>
          <w:p w14:paraId="76DAC6F9">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42102449">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004CD8AB">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3E27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3B1E11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111289C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50D03BA9">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1.10/100M自适应，支持局域网与广域网；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2.采用高性能ARM芯片，性能稳定，运行快捷；</w:t>
            </w:r>
          </w:p>
          <w:p w14:paraId="0F88013F">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3.可播放来自系统主机的背景音乐、紧急寻呼、告警信号等，网络节目源具有7级以上优先等级管理功能，分为背景广播业务广播、紧急广播三大类。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4.音箱采用4.5寸全频喇叭单元；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5.内置2×20W数字功放，具有副音箱接口；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6.内置2.4G无线话筒信号接收器，可使用配套无线话筒实现本地扩声功能；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7.头戴式无线话筒，支持一师一麦使用；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8.支持网页修改IP地址及其他参数或服务器远端通过升级工具修改；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9.蓝牙功能，支持手机连接后播放音乐；</w:t>
            </w:r>
          </w:p>
        </w:tc>
        <w:tc>
          <w:tcPr>
            <w:tcW w:w="371" w:type="pct"/>
            <w:shd w:val="clear" w:color="auto" w:fill="auto"/>
            <w:vAlign w:val="center"/>
          </w:tcPr>
          <w:p w14:paraId="6FA48EF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170EC6E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r>
      <w:tr w14:paraId="722E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0A91951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35F9951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网络化室内副音箱</w:t>
            </w:r>
          </w:p>
        </w:tc>
        <w:tc>
          <w:tcPr>
            <w:tcW w:w="2964" w:type="pct"/>
            <w:shd w:val="clear" w:color="auto" w:fill="auto"/>
            <w:vAlign w:val="center"/>
          </w:tcPr>
          <w:p w14:paraId="36FF6D0A">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1.纤维板制造，箱振小，声音清晰、明亮；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2.箱体配有壁挂孔片，安装便捷；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3.额定阻抗4Ω，额定功率20W；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4.灵敏度88±2dB，最大声压级98±3dB，有效频率范围120Hz-12kHz 。</w:t>
            </w:r>
          </w:p>
        </w:tc>
        <w:tc>
          <w:tcPr>
            <w:tcW w:w="371" w:type="pct"/>
            <w:shd w:val="clear" w:color="auto" w:fill="auto"/>
            <w:vAlign w:val="center"/>
          </w:tcPr>
          <w:p w14:paraId="0006F71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2643159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r>
      <w:tr w14:paraId="6AEA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3ECC75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141A67D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0100268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7DD3469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2D48BDA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w:t>
            </w:r>
          </w:p>
        </w:tc>
      </w:tr>
      <w:tr w14:paraId="3BC9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AB4642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72179DB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7BAB1B17">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5.功放最大输出功率为350W。醒目的数码显示屏设计，既可显示时钟时间，也可显示播放进度时间。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30.可通过网络设置网络音源、本地线路音源、本地话筒音源三者的音源优先等级及优先深度。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6E3B416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72491CF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065E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772DFD06">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231760DF">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艺术楼</w:t>
            </w:r>
          </w:p>
        </w:tc>
        <w:tc>
          <w:tcPr>
            <w:tcW w:w="2964" w:type="pct"/>
            <w:shd w:val="clear" w:color="auto" w:fill="FABF8F"/>
            <w:vAlign w:val="center"/>
          </w:tcPr>
          <w:p w14:paraId="478187BF">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4F418F17">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211B43FE">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1E93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285C80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42FEEE0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26B6623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1.10/100M自适应，支持局域网与广域网；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2.采用高性能ARM芯片，性能稳定，运行快捷；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3.可播放来自系统主机的背景音乐、紧急寻呼、告警信号等，网络节目源具有7级以上优先等级管理功能，分为背景广播业务广播、紧急广播三大类。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4.音箱采用4.5寸全频喇叭单元；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5.内置2×20W数字功放，具有副音箱接口；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6.内置2.4G无线话筒信号接收器，可使用配套无线话筒实现本地扩声功能；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7.头戴式无线话筒，支持一师一麦使用；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8.支持网页修改IP地址及其他参数或服务器远端通过升级工具修改；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9.蓝牙功能，支持手机连接后播放音乐；</w:t>
            </w:r>
          </w:p>
        </w:tc>
        <w:tc>
          <w:tcPr>
            <w:tcW w:w="371" w:type="pct"/>
            <w:shd w:val="clear" w:color="auto" w:fill="auto"/>
            <w:vAlign w:val="center"/>
          </w:tcPr>
          <w:p w14:paraId="3DE2C8C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403C3AE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w:t>
            </w:r>
          </w:p>
        </w:tc>
      </w:tr>
      <w:tr w14:paraId="212B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1393C0D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714213F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网络化室内副音箱</w:t>
            </w:r>
          </w:p>
        </w:tc>
        <w:tc>
          <w:tcPr>
            <w:tcW w:w="2964" w:type="pct"/>
            <w:shd w:val="clear" w:color="auto" w:fill="auto"/>
            <w:vAlign w:val="center"/>
          </w:tcPr>
          <w:p w14:paraId="4EE35A5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1.纤维板制造，箱振小，声音清晰、明亮；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2.箱体配有壁挂孔片，安装便捷；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3.额定阻抗4Ω，额定功率20W；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4.灵敏度88±2dB，最大声压级98±3dB，有效频率范围120Hz-12kHz 。</w:t>
            </w:r>
          </w:p>
        </w:tc>
        <w:tc>
          <w:tcPr>
            <w:tcW w:w="371" w:type="pct"/>
            <w:shd w:val="clear" w:color="auto" w:fill="auto"/>
            <w:vAlign w:val="center"/>
          </w:tcPr>
          <w:p w14:paraId="030E474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55D0353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w:t>
            </w:r>
          </w:p>
        </w:tc>
      </w:tr>
      <w:tr w14:paraId="5251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0A8634F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2E448C3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015BCE91">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3A104BA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1E32D0E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r>
      <w:tr w14:paraId="1068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0A87C2C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0A44CC7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0C0B569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 定压输出，效率高达 90%以上。自带 MP3 播放器，设有 USB 插口、SD 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5.功放最大输出功率为250W。醒目的数码显示屏设计，既可显示时钟时间，也可显示播放进度时间。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 5 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 8 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 SD 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 AUX 线路输入、一路话筒输入、一路 AUX 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 EMC 24V 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 86 盒点播彩屏，可外接双 86 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 86 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 86 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 AUX 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 100V 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 7 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 CD 音质的解码芯片，最大支持 48KHZ 采样率 16bit 的 MP3/WMA/WAV/PCM 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 DSP 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 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30.可通过网络设置网络音源、本地线路音源、本地话筒音源三者的音源优先等级及优先深度。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2A06245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48ADFC7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0D51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3B95995D">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7050A4FD">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科技楼</w:t>
            </w:r>
          </w:p>
        </w:tc>
        <w:tc>
          <w:tcPr>
            <w:tcW w:w="2964" w:type="pct"/>
            <w:shd w:val="clear" w:color="auto" w:fill="FABF8F"/>
            <w:vAlign w:val="center"/>
          </w:tcPr>
          <w:p w14:paraId="4E2E7CA9">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687139D5">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5AC4836F">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719F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2F5502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1C66B64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13226326">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1.10/100M自适应，支持局域网与广域网；</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2.采用高性能ARM芯片，性能稳定，运行快捷；</w:t>
            </w:r>
          </w:p>
          <w:p w14:paraId="0659CBE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3.可播放来自系统主机的背景音乐、紧急寻呼、告警信号等，网络节目源具有7级以上优先等级管理功能，分为背景广播业务广播、紧急广播三大类。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4.音箱采用4.5寸全频喇叭单元；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5.内置2×20W数字功放，具有副音箱接口；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6.内置2.4G无线话筒信号接收器，可使用配套无线话筒实现本地扩声功能；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7.头戴式无线话筒，支持一师一麦使用；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8.支持网页修改IP地址及其他参数或服务器远端通过升级工具修改；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9.蓝牙功能，支持手机连接后播放音乐；</w:t>
            </w:r>
          </w:p>
        </w:tc>
        <w:tc>
          <w:tcPr>
            <w:tcW w:w="371" w:type="pct"/>
            <w:shd w:val="clear" w:color="auto" w:fill="auto"/>
            <w:vAlign w:val="center"/>
          </w:tcPr>
          <w:p w14:paraId="3DF03A3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43F5BC3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29</w:t>
            </w:r>
          </w:p>
        </w:tc>
      </w:tr>
      <w:tr w14:paraId="2FE9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1931244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3100628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网络化室内副音箱</w:t>
            </w:r>
          </w:p>
        </w:tc>
        <w:tc>
          <w:tcPr>
            <w:tcW w:w="2964" w:type="pct"/>
            <w:shd w:val="clear" w:color="auto" w:fill="auto"/>
            <w:vAlign w:val="center"/>
          </w:tcPr>
          <w:p w14:paraId="7F5B9BC7">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1.纤维板制造，箱振小，声音清晰、明亮；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2.箱体配有壁挂孔片，安装便捷；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3.额定阻抗4Ω，额定功率20W；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4.灵敏度88±2dB，最大声压级98±3dB，有效频率范围120Hz-12kHz 。</w:t>
            </w:r>
          </w:p>
        </w:tc>
        <w:tc>
          <w:tcPr>
            <w:tcW w:w="371" w:type="pct"/>
            <w:shd w:val="clear" w:color="auto" w:fill="auto"/>
            <w:vAlign w:val="center"/>
          </w:tcPr>
          <w:p w14:paraId="78742F2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1C40FF5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29</w:t>
            </w:r>
          </w:p>
        </w:tc>
      </w:tr>
      <w:tr w14:paraId="55B3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F6AF42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4D791D0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48ED10E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49ADC99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2B1B08E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w:t>
            </w:r>
          </w:p>
        </w:tc>
      </w:tr>
      <w:tr w14:paraId="1968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792BD3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1B919AD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4B89D5B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 定压输出，效率高达 90%以上。自带 MP3 播放器，设有 USB 插口、SD 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5.功放最大输出功率为250W。醒目的数码显示屏设计，既可显示时钟时间，也可显示播放进度时间。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 5 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 8 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 SD 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 AUX 线路输入、一路话筒输入、一路 AUX 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 EMC 24V 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 86 盒点播彩屏，可外接双 86 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 86 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 86 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 AUX 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 100V 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 7 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 CD 音质的解码芯片，最大支持 48KHZ 采样率 16bit 的 MP3/WMA/WAV/PCM 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 DSP 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 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30.可通过网络设置网络音源、本地线路音源、本地话筒音源三者的音源优先等级及优先深度。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01D8421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06C552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3C66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449C88FC">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712F3556">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食堂1层</w:t>
            </w:r>
          </w:p>
        </w:tc>
        <w:tc>
          <w:tcPr>
            <w:tcW w:w="2964" w:type="pct"/>
            <w:shd w:val="clear" w:color="auto" w:fill="FABF8F"/>
            <w:vAlign w:val="center"/>
          </w:tcPr>
          <w:p w14:paraId="67DEEFD7">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6EA3FF2B">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2480FC53">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14D6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6DF768A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0D55079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3A37AA2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0486A9A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3D263FB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w:t>
            </w:r>
          </w:p>
        </w:tc>
      </w:tr>
      <w:tr w14:paraId="0CAB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0462C86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1DDB584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67C2267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 定压输出，效率高达 90%以上。自带 MP3 播放器，设有 USB 插口、SD 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5.功放最大输出功率为250W。醒目的数码显示屏设计，既可显示时钟时间，也可显示播放进度时间。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 5 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 8 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 SD 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 AUX 线路输入、一路话筒输入、一路 AUX 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 EMC 24V 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 86 盒点播彩屏，可外接双 86 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 86 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 86 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 AUX 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 100V 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 7 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 CD 音质的解码芯片，最大支持 48KHZ 采样率 16bit 的 MP3/WMA/WAV/PCM 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 DSP 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 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30.可通过网络设置网络音源、本地线路音源、本地话筒音源三者的音源优先等级及优先深度。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1E4AB51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33130C7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58B5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1BCC2A63">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52CB2AE5">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初中体育场</w:t>
            </w:r>
          </w:p>
        </w:tc>
        <w:tc>
          <w:tcPr>
            <w:tcW w:w="2964" w:type="pct"/>
            <w:shd w:val="clear" w:color="auto" w:fill="FABF8F"/>
            <w:vAlign w:val="center"/>
          </w:tcPr>
          <w:p w14:paraId="6FF43203">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062F8E03">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6967C94D">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07B4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99EB64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50DC574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室外音柱</w:t>
            </w:r>
          </w:p>
        </w:tc>
        <w:tc>
          <w:tcPr>
            <w:tcW w:w="2964" w:type="pct"/>
            <w:shd w:val="clear" w:color="auto" w:fill="auto"/>
            <w:vAlign w:val="center"/>
          </w:tcPr>
          <w:p w14:paraId="16E7F54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1.工作电压70/100V，额定功率40W，多个配接端子，适应不同场合；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2.最大声压级达109±2dB，有效频率范围宽达140Hz~14kHz；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3.重5.5kg，配有安装支架，安装便捷；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4.全天候设计，选用防水单元，铝合金材质网罩，永不生锈；室内外均宜，，寿命长，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5.灵敏度高（93±2dB），声音清晰、明亮。</w:t>
            </w:r>
          </w:p>
        </w:tc>
        <w:tc>
          <w:tcPr>
            <w:tcW w:w="371" w:type="pct"/>
            <w:shd w:val="clear" w:color="auto" w:fill="auto"/>
            <w:vAlign w:val="center"/>
          </w:tcPr>
          <w:p w14:paraId="5BB900E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6364778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r>
      <w:tr w14:paraId="11F4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6E69BF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1E4104E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607C19BA">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5.功放最大输出功率为250W。醒目的数码显示屏设计，既可显示时钟时间，也可显示播放进度时间。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30.可通过网络设置网络音源、本地线路音源、本地话筒音源三者的音源优先等级及优先深度。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13F3D7B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0CA6D3C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6EDB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0B7FBE31">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6F868EA8">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初中体育场车库</w:t>
            </w:r>
          </w:p>
        </w:tc>
        <w:tc>
          <w:tcPr>
            <w:tcW w:w="2964" w:type="pct"/>
            <w:shd w:val="clear" w:color="auto" w:fill="FABF8F"/>
            <w:vAlign w:val="center"/>
          </w:tcPr>
          <w:p w14:paraId="02884E7F">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423810CA">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7BE8E721">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7849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137D069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77E4D72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6C10002C">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3CE39AE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02B9B68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r>
      <w:tr w14:paraId="634B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8E7D1B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4FE3899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5A6578B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5.功放最大输出功率为120W。醒目的数码显示屏设计，既可显示时钟时间，也可显示播放进度时间。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30.可通过网络设置网络音源、本地线路音源、本地话筒音源三者的音源优先等级及优先深度。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01D5125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62CA7B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3405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056968B6">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0E3329E2">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高中体育场车库</w:t>
            </w:r>
          </w:p>
        </w:tc>
        <w:tc>
          <w:tcPr>
            <w:tcW w:w="2964" w:type="pct"/>
            <w:shd w:val="clear" w:color="auto" w:fill="FABF8F"/>
            <w:vAlign w:val="center"/>
          </w:tcPr>
          <w:p w14:paraId="0F552AF9">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515E590A">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2B8AB285">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6B47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AED715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68C7292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4DB54946">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3EC8D84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3A1ED29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w:t>
            </w:r>
          </w:p>
        </w:tc>
      </w:tr>
      <w:tr w14:paraId="5AB2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0AEF92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7FDE5C5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3B872C8F">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5.功放最大输出功率为350W。醒目的数码显示屏设计，既可显示时钟时间，也可显示播放进度时间。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30.可通过网络设置网络音源、本地线路音源、本地话筒音源三者的音源优先等级及优先深度。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4BC54FE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B98191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1C92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2BC4270E">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68FF7454">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高中体育场</w:t>
            </w:r>
          </w:p>
        </w:tc>
        <w:tc>
          <w:tcPr>
            <w:tcW w:w="2964" w:type="pct"/>
            <w:shd w:val="clear" w:color="auto" w:fill="FABF8F"/>
            <w:vAlign w:val="center"/>
          </w:tcPr>
          <w:p w14:paraId="6B2A635E">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5432F5E6">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42104FFF">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3C21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11C28F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5410A07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室外音柱</w:t>
            </w:r>
          </w:p>
        </w:tc>
        <w:tc>
          <w:tcPr>
            <w:tcW w:w="2964" w:type="pct"/>
            <w:shd w:val="clear" w:color="auto" w:fill="auto"/>
            <w:vAlign w:val="center"/>
          </w:tcPr>
          <w:p w14:paraId="051B440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1.工作电压70/100V，额定功率40W，多个配接端子，适应不同场合；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2.最大声压级达109±2dB，有效频率范围宽达140Hz~14kHz；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3.重5.5kg，配有安装支架，安装便捷；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4.全天候设计，选用防水单元，铝合金材质网罩，永不生锈；室内外均宜，，寿命长，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5.灵敏度高（93±2dB），声音清晰、明亮。</w:t>
            </w:r>
          </w:p>
        </w:tc>
        <w:tc>
          <w:tcPr>
            <w:tcW w:w="371" w:type="pct"/>
            <w:shd w:val="clear" w:color="auto" w:fill="auto"/>
            <w:vAlign w:val="center"/>
          </w:tcPr>
          <w:p w14:paraId="020C587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2EAB9ED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w:t>
            </w:r>
          </w:p>
        </w:tc>
      </w:tr>
      <w:tr w14:paraId="4D87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C4E103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375A819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4B1351D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 定压输出，效率高达 90%以上。自带 MP3 播放器，设有 USB 插口、SD 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5.功放最大输出功率为500W。醒目的数码显示屏设计，既可显示时钟时间，也可显示播放进度时间。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 5 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 8 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 SD 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 AUX 线路输入、一路话筒输入、一路 AUX 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 EMC 24V 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 86 盒点播彩屏，可外接双 86 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 86 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 86 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 AUX 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 100V 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 7 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 CD 音质的解码芯片，最大支持 48KHZ 采样率 16bit 的 MP3/WMA/WAV/PCM 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 DSP 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 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30.可通过网络设置网络音源、本地线路音源、本地话筒音源三者的音源优先等级及优先深度。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3F381D4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6C7AA5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41E0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391F5DF5">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343BD18E">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健身房+舞蹈房</w:t>
            </w:r>
          </w:p>
        </w:tc>
        <w:tc>
          <w:tcPr>
            <w:tcW w:w="2964" w:type="pct"/>
            <w:shd w:val="clear" w:color="auto" w:fill="FABF8F"/>
            <w:vAlign w:val="center"/>
          </w:tcPr>
          <w:p w14:paraId="38622CF9">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29642925">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028B3E5F">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65F1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63DBF43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1F5D436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网络化室内音箱</w:t>
            </w:r>
          </w:p>
        </w:tc>
        <w:tc>
          <w:tcPr>
            <w:tcW w:w="2964" w:type="pct"/>
            <w:shd w:val="clear" w:color="auto" w:fill="auto"/>
            <w:vAlign w:val="center"/>
          </w:tcPr>
          <w:p w14:paraId="0736A97E">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1.网络化终端处理器结合高保真扬声器整体化设计的网络化音箱。</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4.具有MP3解码播放功能。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5.支持最大48kHz采样率16bit数字音频码流解码。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6.内置2×15W数字功放，低功耗设置。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7.可播放来自系统主机的背景音乐、紧急寻呼、告警信号等。</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8.具有一路辅助音频输入口，一路辅助音频输出口，一路话筒输入和一路EMC紧急输出口，1路短路输出（同时控制100V音频输入与本机音频信号的切换）。</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10.工作状态及信息变化数码显示。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11.可接受红外线遥控器的操控。</w:t>
            </w:r>
          </w:p>
        </w:tc>
        <w:tc>
          <w:tcPr>
            <w:tcW w:w="371" w:type="pct"/>
            <w:shd w:val="clear" w:color="auto" w:fill="auto"/>
            <w:vAlign w:val="center"/>
          </w:tcPr>
          <w:p w14:paraId="5711072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434BA4A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r>
      <w:tr w14:paraId="2277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6C0F962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47A024B8">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评审指标107</w:t>
            </w:r>
          </w:p>
          <w:p w14:paraId="39CB1FC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网络化副音箱</w:t>
            </w:r>
          </w:p>
        </w:tc>
        <w:tc>
          <w:tcPr>
            <w:tcW w:w="2964" w:type="pct"/>
            <w:shd w:val="clear" w:color="auto" w:fill="auto"/>
            <w:vAlign w:val="center"/>
          </w:tcPr>
          <w:p w14:paraId="0A16A38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1.纤维板制造，箱振小，声音清晰、明亮；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2.重1.8kg，配有壁挂孔片，安装便捷；</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3.额阻抗4Ω，额定功率15W；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 90±2dB，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5.最大声压级 102±2dB，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6.有效频率范围 100Hz-16kHz。</w:t>
            </w:r>
          </w:p>
        </w:tc>
        <w:tc>
          <w:tcPr>
            <w:tcW w:w="371" w:type="pct"/>
            <w:shd w:val="clear" w:color="auto" w:fill="auto"/>
            <w:vAlign w:val="center"/>
          </w:tcPr>
          <w:p w14:paraId="218B6BC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7CB2519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r>
      <w:tr w14:paraId="24C5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6BD84D05">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4FB392B8">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教师公寓</w:t>
            </w:r>
          </w:p>
        </w:tc>
        <w:tc>
          <w:tcPr>
            <w:tcW w:w="2964" w:type="pct"/>
            <w:shd w:val="clear" w:color="auto" w:fill="FABF8F"/>
            <w:vAlign w:val="center"/>
          </w:tcPr>
          <w:p w14:paraId="4828DE5C">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62E746C9">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5D938547">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5919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001AB8D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63C78A6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64AC2A31">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3BDB91C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7173B84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38</w:t>
            </w:r>
          </w:p>
        </w:tc>
      </w:tr>
      <w:tr w14:paraId="314C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CC8CDF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3CC3249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7A2AF88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 定压输出，效率高达 90%以上。自带 MP3 播放器，设有 USB 插口、SD 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5.功放最大输出功率为650W。醒目的数码显示屏设计，既可显示时钟时间，也可显示播放进度时间。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 5 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 8 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 SD 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 AUX 线路输入、一路话筒输入、一路 AUX 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 EMC 24V 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 86 盒点播彩屏，可外接双 86 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 86 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 86 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 AUX 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 100V 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 7 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 CD 音质的解码芯片，最大支持 48KHZ 采样率 16bit 的 MP3/WMA/WAV/PCM 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 DSP 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 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30.可通过网络设置网络音源、本地线路音源、本地话筒音源三者的音源优先等级及优先深度。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5D8CD39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7E9D460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7EA0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2C99D520">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48CA87FC">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A栋学生宿舍</w:t>
            </w:r>
          </w:p>
        </w:tc>
        <w:tc>
          <w:tcPr>
            <w:tcW w:w="2964" w:type="pct"/>
            <w:shd w:val="clear" w:color="auto" w:fill="FABF8F"/>
            <w:vAlign w:val="center"/>
          </w:tcPr>
          <w:p w14:paraId="0EC46F4A">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20EE199D">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69596A8F">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2332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8DD256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679DD71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45D74776">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6EDD58B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3CA1AFC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30</w:t>
            </w:r>
          </w:p>
        </w:tc>
      </w:tr>
      <w:tr w14:paraId="0518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9D1328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0205641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03ED6B03">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5.功放最大输出功率为500W。醒目的数码显示屏设计，既可显示时钟时间，也可显示播放进度时间。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30.可通过网络设置网络音源、本地线路音源、本地话筒音源三者的音源优先等级及优先深度。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462F05D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1500DCD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279E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0AA5C8CE">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5B7334E2">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B栋学生宿舍</w:t>
            </w:r>
          </w:p>
        </w:tc>
        <w:tc>
          <w:tcPr>
            <w:tcW w:w="2964" w:type="pct"/>
            <w:shd w:val="clear" w:color="auto" w:fill="FABF8F"/>
            <w:vAlign w:val="center"/>
          </w:tcPr>
          <w:p w14:paraId="6CFA433F">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57F2B4C2">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150D4D79">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6F4A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99F999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11845A3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7131CEBD">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1ED524D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71F23F0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w:t>
            </w:r>
          </w:p>
        </w:tc>
      </w:tr>
      <w:tr w14:paraId="37A5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16FCAFE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2EA8257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25A110CA">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5.功放最大输出功率为350W。醒目的数码显示屏设计，既可显示时钟时间，也可显示播放进度时间。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30.可通过网络设置网络音源、本地线路音源、本地话筒音源三者的音源优先等级及优先深度。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2F0DCE8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3FB9E7C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570C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22122980">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61ADB96B">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C栋学生宿舍</w:t>
            </w:r>
          </w:p>
        </w:tc>
        <w:tc>
          <w:tcPr>
            <w:tcW w:w="2964" w:type="pct"/>
            <w:shd w:val="clear" w:color="auto" w:fill="FABF8F"/>
            <w:vAlign w:val="center"/>
          </w:tcPr>
          <w:p w14:paraId="74BF07EF">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5FA041CD">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2209378E">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6AE1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F336AA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3BA88AB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3F55B369">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55D0AA2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411D2A7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w:t>
            </w:r>
          </w:p>
        </w:tc>
      </w:tr>
      <w:tr w14:paraId="115F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85C59E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158A010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278EFE6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5.功放最大输出功率为350W。醒目的数码显示屏设计，既可显示时钟时间，也可显示播放进度时间。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30.可通过网络设置网络音源、本地线路音源、本地话筒音源三者的音源优先等级及优先深度。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33C1B54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2954C0D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3321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2F6030D5">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7467957E">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D栋学生宿舍</w:t>
            </w:r>
          </w:p>
        </w:tc>
        <w:tc>
          <w:tcPr>
            <w:tcW w:w="2964" w:type="pct"/>
            <w:shd w:val="clear" w:color="auto" w:fill="FABF8F"/>
            <w:vAlign w:val="center"/>
          </w:tcPr>
          <w:p w14:paraId="23984D85">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24E2B4DF">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2841826A">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47C9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686F05F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3699AF9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壁挂扬声器</w:t>
            </w:r>
          </w:p>
        </w:tc>
        <w:tc>
          <w:tcPr>
            <w:tcW w:w="2964" w:type="pct"/>
            <w:shd w:val="clear" w:color="auto" w:fill="auto"/>
            <w:vAlign w:val="center"/>
          </w:tcPr>
          <w:p w14:paraId="06F79DD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1.工作电压70/100V，功率1.5-10W（多个配接端子），适应不同场合；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2.最大声压级达100±2dB，有效频率范围宽达160Hz-18kHz;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3.重1.75kg，自备悬挂孔，安装方便；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4.工程塑料注塑成型，经久耐用，不变形，不褪色；</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5.扬声器悬边阻尼处理，寿命长，灵敏度高（达92±2dB），声音清晰</w:t>
            </w:r>
          </w:p>
        </w:tc>
        <w:tc>
          <w:tcPr>
            <w:tcW w:w="371" w:type="pct"/>
            <w:shd w:val="clear" w:color="auto" w:fill="auto"/>
            <w:vAlign w:val="center"/>
          </w:tcPr>
          <w:p w14:paraId="646E7B9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7D877AA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w:t>
            </w:r>
          </w:p>
        </w:tc>
      </w:tr>
      <w:tr w14:paraId="2E31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05648CD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0772FDD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0162008F">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5.功放最大输出功率为350W。醒目的数码显示屏设计，既可显示时钟时间，也可显示播放进度时间。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30.可通过网络设置网络音源、本地线路音源、本地话筒音源三者的音源优先等级及优先深度。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27BC208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7738A5D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142C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06B6B359">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018B3262">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足球场1</w:t>
            </w:r>
          </w:p>
        </w:tc>
        <w:tc>
          <w:tcPr>
            <w:tcW w:w="2964" w:type="pct"/>
            <w:shd w:val="clear" w:color="auto" w:fill="FABF8F"/>
            <w:vAlign w:val="center"/>
          </w:tcPr>
          <w:p w14:paraId="034C0100">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15CF047D">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41EBFEB0">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03BB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84D92F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4AEC40D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室外音柱</w:t>
            </w:r>
          </w:p>
        </w:tc>
        <w:tc>
          <w:tcPr>
            <w:tcW w:w="2964" w:type="pct"/>
            <w:shd w:val="clear" w:color="auto" w:fill="auto"/>
            <w:vAlign w:val="center"/>
          </w:tcPr>
          <w:p w14:paraId="41C70CC1">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1.采用铝质面网，不生锈，适宜室内外使用；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2.二分频结构，频带较宽。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3.频响范围：80Hz-16kHz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4.灵敏度：93dB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5.最大声压级：114dB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6.额定功率：120W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7.尺寸（长×宽×高）230×250×905mm</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8.重量：17kg</w:t>
            </w:r>
          </w:p>
        </w:tc>
        <w:tc>
          <w:tcPr>
            <w:tcW w:w="371" w:type="pct"/>
            <w:shd w:val="clear" w:color="auto" w:fill="auto"/>
            <w:vAlign w:val="center"/>
          </w:tcPr>
          <w:p w14:paraId="0C41181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3844F06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w:t>
            </w:r>
          </w:p>
        </w:tc>
      </w:tr>
      <w:tr w14:paraId="7C8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DB5143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1A4FF55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一路音频输出终端</w:t>
            </w:r>
          </w:p>
        </w:tc>
        <w:tc>
          <w:tcPr>
            <w:tcW w:w="2964" w:type="pct"/>
            <w:shd w:val="clear" w:color="auto" w:fill="auto"/>
            <w:vAlign w:val="center"/>
          </w:tcPr>
          <w:p w14:paraId="4EAD189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一款基于TCP/IP传输协议的网络全数字化的模数转换信号处理器，双网络接口冗余设计，可挂接在网络能到达的任何地方。远程音频数据流可通过本机输出音频信号，主机智能控制；有一路紧急音频输入接口用来连接消防中心的紧急信号，有一路紧急音频输出接口用来连接应急功放；无需在本地操控，只需通过管理软件远程配置正常后即可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2.功能特点：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3.模块化设计,一路音频输出网络化终端设备。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4.双网络接口设计，网络扩展口可连接其它100M网络设备。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5.10M/100M自适应网络传输。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6.支持最大48KHZ采样率16BitMP3/WAV/PCM解码。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7.低功耗设计。</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8.内置看门狗功能。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9.可定制网络协议接口。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10.全数字化设计，高保真、语音传输指数高。</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11.具有强插输入及强插链接输出。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12.直流24V/1000MA输出和短路输出，两种输出方式可分别控制。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13.本地监听音量可控。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b/>
                <w:bCs/>
                <w:color w:val="000000" w:themeColor="text1"/>
                <w:kern w:val="0"/>
                <w:sz w:val="24"/>
                <w:szCs w:val="24"/>
                <w14:textFill>
                  <w14:solidFill>
                    <w14:schemeClr w14:val="tx1"/>
                  </w14:solidFill>
                </w14:textFill>
              </w:rPr>
              <w:t>性能规格：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1.EMC参数（EMC LINE IN 端口输入）：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CH1额定输出 1V</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输入灵敏度 MAX：250mV/MIN：4V</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增益限制的有效频率范围（±3dB） 20Hz-20kHz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信噪比（低通30kHz） ≥70dB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总谐波失真（1kHz，1/3输出电压） ≤0.1%</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EMC LINK输出 等于EMC LINE输入（±10%）</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输入动态范围 ≥26dB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2.网络解码参数（主机MP3输入）: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CH1额定输出 1V</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失真度（1kHz -10dB/MP3）≤0.2%</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增益限制的有效频率范围（±3dB）：50Hz—20kHz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信噪比（低通30kHz）≥70dB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3.告警输出（主机软件控制）: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COM-24V输出 24V总共电流是1A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COM-SC输出 短路（＜1Ω）</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4.内置监听功率 1W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网络 双网口10M/100M自适应</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电源 AC220V/50Hz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待机功耗 5W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额定功耗 7.5W</w:t>
            </w:r>
          </w:p>
        </w:tc>
        <w:tc>
          <w:tcPr>
            <w:tcW w:w="371" w:type="pct"/>
            <w:shd w:val="clear" w:color="auto" w:fill="auto"/>
            <w:vAlign w:val="center"/>
          </w:tcPr>
          <w:p w14:paraId="6194819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193B5A1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186C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C60C50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2130ED1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前置放大器</w:t>
            </w:r>
          </w:p>
        </w:tc>
        <w:tc>
          <w:tcPr>
            <w:tcW w:w="2964" w:type="pct"/>
            <w:shd w:val="clear" w:color="auto" w:fill="auto"/>
            <w:vAlign w:val="center"/>
          </w:tcPr>
          <w:p w14:paraId="0A5AB78E">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1.多种、多个输入/输出口：5个话筒口；3个辅助口；2个优先口；4个输出口。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2.各通道独立音量控制。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3.高音和低音音调控制。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4.自动默音（有强插功能）。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b/>
                <w:bCs/>
                <w:color w:val="000000" w:themeColor="text1"/>
                <w:kern w:val="0"/>
                <w:sz w:val="24"/>
                <w:szCs w:val="24"/>
                <w14:textFill>
                  <w14:solidFill>
                    <w14:schemeClr w14:val="tx1"/>
                  </w14:solidFill>
                </w14:textFill>
              </w:rPr>
              <w:t>性能规格：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1.最小源电动势 Mic：≤3.2mV， 不平衡/Aux：≤300mV 不平衡/EMC：≤450mV</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2.输出电平 0dBV</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3.频率响应 Line：30Hz-20KHz （±3dB）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4.总谐波失真 Aux：≤0.1%（1KHz，额定正常工作条件）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5.信噪比 Aux input：≥66dB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6.音调调节范围 Bass：±10dB（100Hz）/Treble：±10dB（10kHz）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7.保护 AC保险丝</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8.电源 AC 220V/50Hz</w:t>
            </w:r>
          </w:p>
        </w:tc>
        <w:tc>
          <w:tcPr>
            <w:tcW w:w="371" w:type="pct"/>
            <w:shd w:val="clear" w:color="auto" w:fill="auto"/>
            <w:vAlign w:val="center"/>
          </w:tcPr>
          <w:p w14:paraId="5540866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2770B94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3DD3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16B1FB6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70C4595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八路天线放大器</w:t>
            </w:r>
          </w:p>
        </w:tc>
        <w:tc>
          <w:tcPr>
            <w:tcW w:w="2964" w:type="pct"/>
            <w:shd w:val="clear" w:color="auto" w:fill="auto"/>
            <w:vAlign w:val="center"/>
          </w:tcPr>
          <w:p w14:paraId="40020DF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系统参数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1.天线翼板与强波器参数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天线类型：对数周期指向（LPDA）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频率范围：400-950MHz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输出接口：卡口母座（BNC)</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天线阻抗：50 Ω</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内置强波器：+2db,+6db,+8db,+12db（四档可调）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工作状态指示： 带电源与增益量LED指示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指向性：水平90°垂直60°</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指向极性：垂直极化</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工作电压：偏压电源8~15 V DC</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外观尺寸（mm） ：320×275×22</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2.分配主机参数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高频信号输入：2路BNC输入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输入端信号最大灵敏度：+32dBm</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系统工作总电源： 12V3A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放大信号输出:  8路BNC输出+ 2路BNC备用级联输出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系统DC输出： 4路DC  12V/1A 输出（为接收机供电）</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输出/入阻抗： 50 Ω</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系统信号输入端对外供电： +8.0V DC / 200mA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3.同轴电缆参数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线材规格：发泡聚乙烯绝缘同轴电缆LMR195</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阻抗：50Ω</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弯曲半径：25mm</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线损：≤0.24db/m(20度）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线径：6mm</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材质结构：5层带编织线与屏蔽层铜芯线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备注：50米线长信号通过衰减为-5dBM，10米长内信号衰减可忽略不计。</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产品特点：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1.有效工作频率为400MHZ-950MHZ，信号增益+2DBM到+12DBM可调。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2.基本兼容市面上大部分品牌UHF频段无线麦克风接收机工作使用。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3.在天线板安装了高效的强滤波电路，有效过滤与隔离了工作范围外的干忧信号的输入。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4.在天线板加入了高性能的高频增益芯片，可对话筒信号进行无损的增强与补偿。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5.系统分配主机提供了8路稳定高质量信号输出（可多机级联增路）。</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6.系统分配主机提供了4路稳定的 DC电源输出，专为话筒接收机供电。（每路负载12V/1A)。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7.所有同轴电缆线材为5层结构的带屏蔽铝箔的高频铜芯专用线。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8.系统提供两个可伸缩与转向调节的天线板金属安装支架。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9.定向天线翼板与增益强波器控制电路巧妙一体化设计，结构更简洁耐用。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10.天线翼板上的强波器电路由散热快的铝合金外壳密封，防淋雨防晒，适合户外长期固定安装。</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11.系统主机设计有系统连接状态指示灯，当天线板正常安装并工作的时候，指示灯长亮。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12.天线翼板设计有连接状态指示灯，当与系统主机正常连接并工作的时候，指示灯长亮。</w:t>
            </w:r>
          </w:p>
        </w:tc>
        <w:tc>
          <w:tcPr>
            <w:tcW w:w="371" w:type="pct"/>
            <w:shd w:val="clear" w:color="auto" w:fill="auto"/>
            <w:vAlign w:val="center"/>
          </w:tcPr>
          <w:p w14:paraId="29DE346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4C8D9A2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1E26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7" w:type="pct"/>
            <w:shd w:val="clear" w:color="auto" w:fill="auto"/>
            <w:vAlign w:val="center"/>
          </w:tcPr>
          <w:p w14:paraId="04F7F27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879" w:type="pct"/>
            <w:vAlign w:val="center"/>
          </w:tcPr>
          <w:p w14:paraId="3621109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真分集无线话筒</w:t>
            </w:r>
          </w:p>
        </w:tc>
        <w:tc>
          <w:tcPr>
            <w:tcW w:w="2964" w:type="pct"/>
            <w:shd w:val="clear" w:color="auto" w:fill="auto"/>
            <w:vAlign w:val="center"/>
          </w:tcPr>
          <w:p w14:paraId="416A8B77">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1、配置≥2只手持麦+≥1台接收机</w:t>
            </w:r>
          </w:p>
          <w:p w14:paraId="6FBF0C29">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2、工作频率 ：632MHz～695MHz；</w:t>
            </w:r>
          </w:p>
          <w:p w14:paraId="776F67C4">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3、调制方式 宽带FM</w:t>
            </w:r>
          </w:p>
          <w:p w14:paraId="58080632">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4、信道数目 200</w:t>
            </w:r>
          </w:p>
          <w:p w14:paraId="51A52F2C">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5、信道间隔 250KHz</w:t>
            </w:r>
          </w:p>
          <w:p w14:paraId="5533B44C">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6、频率稳定度 ±0、005%以内</w:t>
            </w:r>
          </w:p>
          <w:p w14:paraId="6AB27C1D">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7、动态范围：88dB;</w:t>
            </w:r>
          </w:p>
          <w:p w14:paraId="7CA22FFB">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8、最大偏移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±45KHz</w:t>
            </w:r>
          </w:p>
          <w:p w14:paraId="110B5487">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9、音频频率响应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120Hz～16KHz(±3dB)</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10、信躁比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≥73dB </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11、总谐波失真</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12、工作距离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1、空旷距离约200M；</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2、如使用空间复杂或电磁场环境复杂的情况下将缩短工作距离。（工作距离取决于很多变量，包括RF信号的吸收、反射和干扰等。）</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b/>
                <w:bCs/>
                <w:color w:val="000000" w:themeColor="text1"/>
                <w:sz w:val="24"/>
                <w:szCs w:val="24"/>
                <w:lang w:val="en-US" w:eastAsia="zh-CN"/>
                <w14:textFill>
                  <w14:solidFill>
                    <w14:schemeClr w14:val="tx1"/>
                  </w14:solidFill>
                </w14:textFill>
              </w:rPr>
              <w:t>13、</w:t>
            </w:r>
            <w:r>
              <w:rPr>
                <w:rFonts w:hint="eastAsia" w:ascii="仿宋" w:hAnsi="仿宋" w:eastAsia="仿宋" w:cs="仿宋"/>
                <w:b/>
                <w:bCs/>
                <w:color w:val="000000" w:themeColor="text1"/>
                <w:sz w:val="24"/>
                <w:szCs w:val="24"/>
                <w14:textFill>
                  <w14:solidFill>
                    <w14:schemeClr w14:val="tx1"/>
                  </w14:solidFill>
                </w14:textFill>
              </w:rPr>
              <w:t>以上10、11条性能参数需提供第三方权威检测机构根据GB/T 17276-1998《无线传声器系统通用规范》作为判断依据，在1KHZ测试频率下检测合格的检验报告复印件。</w:t>
            </w:r>
          </w:p>
        </w:tc>
        <w:tc>
          <w:tcPr>
            <w:tcW w:w="371" w:type="pct"/>
            <w:shd w:val="clear" w:color="auto" w:fill="auto"/>
            <w:vAlign w:val="center"/>
          </w:tcPr>
          <w:p w14:paraId="7AB669D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4306B8F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7634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80BB52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w:t>
            </w:r>
          </w:p>
        </w:tc>
        <w:tc>
          <w:tcPr>
            <w:tcW w:w="879" w:type="pct"/>
            <w:vAlign w:val="center"/>
          </w:tcPr>
          <w:p w14:paraId="280898B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网络化无线遥控终端</w:t>
            </w:r>
          </w:p>
        </w:tc>
        <w:tc>
          <w:tcPr>
            <w:tcW w:w="2964" w:type="pct"/>
            <w:shd w:val="clear" w:color="auto" w:fill="auto"/>
            <w:vAlign w:val="center"/>
          </w:tcPr>
          <w:p w14:paraId="5C09687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1.支持100/1000MbpsTCP/IP网络传输协议；</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2.≥2路网络接口；≥1路辅助线路输入接口；≥2路拾音输入接口；≥1路辅助线路输出接口；≥1路USB接口；≥1路SD卡槽；≥4个面板状态指示灯；≥12个自定义快捷按键。</w:t>
            </w:r>
            <w:r>
              <w:rPr>
                <w:rFonts w:hint="eastAsia" w:ascii="仿宋" w:hAnsi="仿宋" w:eastAsia="仿宋" w:cs="仿宋"/>
                <w:b/>
                <w:bCs/>
                <w:color w:val="000000" w:themeColor="text1"/>
                <w:sz w:val="24"/>
                <w:szCs w:val="24"/>
                <w14:textFill>
                  <w14:solidFill>
                    <w14:schemeClr w14:val="tx1"/>
                  </w14:solidFill>
                </w14:textFill>
              </w:rPr>
              <w:t>（提供第三方权威机构出具带有CMA或CNAS标识检测报告复印件予以佐证）</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3.远程遥控控实现播放、暂停、音量大小调节、音源切换；无障碍物遥控距离可达1500米。</w:t>
            </w:r>
            <w:r>
              <w:rPr>
                <w:rFonts w:hint="eastAsia" w:ascii="仿宋" w:hAnsi="仿宋" w:eastAsia="仿宋" w:cs="仿宋"/>
                <w:b/>
                <w:bCs/>
                <w:color w:val="000000" w:themeColor="text1"/>
                <w:sz w:val="24"/>
                <w:szCs w:val="24"/>
                <w14:textFill>
                  <w14:solidFill>
                    <w14:schemeClr w14:val="tx1"/>
                  </w14:solidFill>
                </w14:textFill>
              </w:rPr>
              <w:t>（提供第三方权威机构出具带有CMA或CNAS标识检测报告复印件予以佐证）</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4.实现分区、定时广播、分区、分区告警功能。</w:t>
            </w:r>
            <w:r>
              <w:rPr>
                <w:rFonts w:hint="eastAsia" w:ascii="仿宋" w:hAnsi="仿宋" w:eastAsia="仿宋" w:cs="仿宋"/>
                <w:b/>
                <w:bCs/>
                <w:color w:val="000000" w:themeColor="text1"/>
                <w:sz w:val="24"/>
                <w:szCs w:val="24"/>
                <w14:textFill>
                  <w14:solidFill>
                    <w14:schemeClr w14:val="tx1"/>
                  </w14:solidFill>
                </w14:textFill>
              </w:rPr>
              <w:t>（提供第三方权威机构出具带有CMA或CNAS标识检测报告复印件予以佐证）</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5.内置无线遥控接收模块，接收灵敏度高；</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6.能够控制选定分区播放特定音源、选定分区停止等操作；</w:t>
            </w:r>
          </w:p>
        </w:tc>
        <w:tc>
          <w:tcPr>
            <w:tcW w:w="371" w:type="pct"/>
            <w:shd w:val="clear" w:color="auto" w:fill="auto"/>
            <w:vAlign w:val="center"/>
          </w:tcPr>
          <w:p w14:paraId="6FF9109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40FD702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609D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F1F811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w:t>
            </w:r>
          </w:p>
        </w:tc>
        <w:tc>
          <w:tcPr>
            <w:tcW w:w="879" w:type="pct"/>
            <w:vAlign w:val="center"/>
          </w:tcPr>
          <w:p w14:paraId="1FC2DC3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纯后级广播功放</w:t>
            </w:r>
          </w:p>
        </w:tc>
        <w:tc>
          <w:tcPr>
            <w:tcW w:w="2964" w:type="pct"/>
            <w:shd w:val="clear" w:color="auto" w:fill="auto"/>
            <w:vAlign w:val="center"/>
          </w:tcPr>
          <w:p w14:paraId="644B9947">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1、100伏, 70伏 ≥1050W定压输出和4欧平衡输出（不接地）；</w:t>
            </w:r>
          </w:p>
          <w:p w14:paraId="59857BB3">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 单位LED 指示灯，作状态显示；</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3、6.35mm插口和XLR插口供方便地实现环接；</w:t>
            </w:r>
          </w:p>
          <w:p w14:paraId="43520BB3">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4、输出短路保护并示警；</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5、失真限制的功率输出：4Ω定阻输出时≥1170W；</w:t>
            </w:r>
          </w:p>
          <w:p w14:paraId="22B67114">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6、增益限制的有效频率范围：≤58Hz～≥39000Hz,；</w:t>
            </w:r>
          </w:p>
          <w:p w14:paraId="0D533484">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7、最小源电动势：≤870mV；</w:t>
            </w:r>
          </w:p>
          <w:p w14:paraId="4514F0CF">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8、总谐波失真（1KHz,正常工作下）：≤0.08%；</w:t>
            </w:r>
          </w:p>
          <w:p w14:paraId="1D483C8F">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9、信噪比≥102dB；</w:t>
            </w:r>
          </w:p>
          <w:p w14:paraId="652DF6E3">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w:t>
            </w:r>
            <w:r>
              <w:rPr>
                <w:rFonts w:hint="eastAsia" w:ascii="仿宋" w:hAnsi="仿宋" w:eastAsia="仿宋" w:cs="仿宋"/>
                <w:b/>
                <w:bCs/>
                <w:color w:val="000000" w:themeColor="text1"/>
                <w:sz w:val="24"/>
                <w:szCs w:val="24"/>
                <w:lang w:eastAsia="zh-CN"/>
                <w14:textFill>
                  <w14:solidFill>
                    <w14:schemeClr w14:val="tx1"/>
                  </w14:solidFill>
                </w14:textFill>
              </w:rPr>
              <w:t>0</w:t>
            </w:r>
            <w:r>
              <w:rPr>
                <w:rFonts w:hint="eastAsia" w:ascii="仿宋" w:hAnsi="仿宋" w:eastAsia="仿宋" w:cs="仿宋"/>
                <w:b/>
                <w:bCs/>
                <w:color w:val="000000" w:themeColor="text1"/>
                <w:sz w:val="24"/>
                <w:szCs w:val="24"/>
                <w14:textFill>
                  <w14:solidFill>
                    <w14:schemeClr w14:val="tx1"/>
                  </w14:solidFill>
                </w14:textFill>
              </w:rPr>
              <w:t>、以上5～9条性能参数需提供第三方权威检测机构根据GB/T 12060.3-2011 声频放大器测量方法检测合格带有</w:t>
            </w:r>
            <w:r>
              <w:rPr>
                <w:rFonts w:hint="eastAsia" w:ascii="仿宋" w:hAnsi="仿宋" w:eastAsia="仿宋" w:cs="仿宋"/>
                <w:b/>
                <w:bCs/>
                <w:color w:val="000000" w:themeColor="text1"/>
                <w:sz w:val="24"/>
                <w:szCs w:val="24"/>
                <w:highlight w:val="yellow"/>
                <w14:textFill>
                  <w14:solidFill>
                    <w14:schemeClr w14:val="tx1"/>
                  </w14:solidFill>
                </w14:textFill>
              </w:rPr>
              <w:t>CMA或CNAS标识</w:t>
            </w:r>
            <w:r>
              <w:rPr>
                <w:rFonts w:hint="eastAsia" w:ascii="仿宋" w:hAnsi="仿宋" w:eastAsia="仿宋" w:cs="仿宋"/>
                <w:b/>
                <w:bCs/>
                <w:color w:val="000000" w:themeColor="text1"/>
                <w:sz w:val="24"/>
                <w:szCs w:val="24"/>
                <w14:textFill>
                  <w14:solidFill>
                    <w14:schemeClr w14:val="tx1"/>
                  </w14:solidFill>
                </w14:textFill>
              </w:rPr>
              <w:t>的检测报告复印件(原件备查)。</w:t>
            </w:r>
          </w:p>
        </w:tc>
        <w:tc>
          <w:tcPr>
            <w:tcW w:w="371" w:type="pct"/>
            <w:shd w:val="clear" w:color="auto" w:fill="auto"/>
            <w:vAlign w:val="center"/>
          </w:tcPr>
          <w:p w14:paraId="2F655BA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5E78D7F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4633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375B5EF4">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1BF6C91A">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足球场2</w:t>
            </w:r>
          </w:p>
        </w:tc>
        <w:tc>
          <w:tcPr>
            <w:tcW w:w="2964" w:type="pct"/>
            <w:shd w:val="clear" w:color="auto" w:fill="FABF8F"/>
            <w:vAlign w:val="center"/>
          </w:tcPr>
          <w:p w14:paraId="5B037D9E">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2FF706B8">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32C97F09">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2B22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6B45B7A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07F8557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室外音柱</w:t>
            </w:r>
          </w:p>
        </w:tc>
        <w:tc>
          <w:tcPr>
            <w:tcW w:w="2964" w:type="pct"/>
            <w:shd w:val="clear" w:color="auto" w:fill="auto"/>
            <w:vAlign w:val="center"/>
          </w:tcPr>
          <w:p w14:paraId="74A10CDF">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1.采用铝质面网，不生锈，适宜室内外使用；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2.二分频结构，频带较宽。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3.频响范围：80Hz-16kHz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4.灵敏度：93dB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5.最大声压级：114dB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6.额定功率：120W</w:t>
            </w:r>
          </w:p>
        </w:tc>
        <w:tc>
          <w:tcPr>
            <w:tcW w:w="371" w:type="pct"/>
            <w:shd w:val="clear" w:color="auto" w:fill="auto"/>
            <w:vAlign w:val="center"/>
          </w:tcPr>
          <w:p w14:paraId="6177BA7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w:t>
            </w:r>
          </w:p>
        </w:tc>
        <w:tc>
          <w:tcPr>
            <w:tcW w:w="440" w:type="pct"/>
            <w:shd w:val="clear" w:color="auto" w:fill="auto"/>
            <w:vAlign w:val="center"/>
          </w:tcPr>
          <w:p w14:paraId="4939B0B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w:t>
            </w:r>
          </w:p>
        </w:tc>
      </w:tr>
      <w:tr w14:paraId="2CA0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60A6303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295247F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一路音频输出终端</w:t>
            </w:r>
          </w:p>
        </w:tc>
        <w:tc>
          <w:tcPr>
            <w:tcW w:w="2964" w:type="pct"/>
            <w:shd w:val="clear" w:color="auto" w:fill="auto"/>
            <w:vAlign w:val="center"/>
          </w:tcPr>
          <w:p w14:paraId="1213F4F6">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1.支持100/10MbpsTCP/IP网络传输协议.</w:t>
            </w:r>
          </w:p>
          <w:p w14:paraId="22A9367E">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2.铝合金拉丝面板、1U机箱；</w:t>
            </w:r>
          </w:p>
          <w:p w14:paraId="509C514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3.带有监听音量电位器与开关，方便用户监听本区播放内容；</w:t>
            </w:r>
          </w:p>
          <w:p w14:paraId="17E79C11">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4.外置EMC 24V与短路干触点两种强播输出接口，可连接扬声器音控器使用，或连接智能电源；</w:t>
            </w:r>
          </w:p>
          <w:p w14:paraId="2B5AE84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5.≥2路网络口（网络线路故障检测与自动选择功能）；≥内置1W监听功放和扬声器；≥1路EMC强插线路输入；≥1路EMC线路输出；</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（提供第三方权威机构出具带有CMA或CNAS标识检测报告复印件予以佐证）</w:t>
            </w:r>
          </w:p>
          <w:p w14:paraId="598DDD29">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6.具有点播功能：接上网络化点播面板，可以点播网络化广播中心的音源。</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（提供第三方权威机构出具带有CMA或CNAS标识检测报告复印件予以佐证）</w:t>
            </w:r>
          </w:p>
          <w:p w14:paraId="326A40E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7.具有接受主机的控制命令，并实施相应操作的功能：实现分区广播、定时广播、分区寻呼、分区告警等功能。</w:t>
            </w:r>
            <w:r>
              <w:rPr>
                <w:rFonts w:hint="eastAsia" w:ascii="仿宋" w:hAnsi="仿宋" w:eastAsia="仿宋" w:cs="仿宋"/>
                <w:b/>
                <w:bCs/>
                <w:color w:val="000000" w:themeColor="text1"/>
                <w:kern w:val="0"/>
                <w:sz w:val="24"/>
                <w:szCs w:val="24"/>
                <w14:textFill>
                  <w14:solidFill>
                    <w14:schemeClr w14:val="tx1"/>
                  </w14:solidFill>
                </w14:textFill>
              </w:rPr>
              <w:t>（提供第三方权威机构出具带有CMA或CNAS标识检测报告复印件予以佐证）</w:t>
            </w:r>
          </w:p>
          <w:p w14:paraId="314934BD">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8.具有网络播放功能，可播放网络化主机下发的节目源或网络化音频采集器的音频流。</w:t>
            </w:r>
          </w:p>
          <w:p w14:paraId="6079076E">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9.具有接收寻呼功能，可接收网络化主机的紧急、业务寻呼，可接收智能寻呼台或电话寻呼器的业务寻呼；</w:t>
            </w:r>
          </w:p>
          <w:p w14:paraId="1E1EFFD3">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10.网络节目源具有≥7级以上优先等级管理功能，大致分为背景广播、业务广播、紧急广播三大类；</w:t>
            </w:r>
          </w:p>
          <w:p w14:paraId="2648F49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11.内置DSP音效处理芯片，具有高、低调节功能；</w:t>
            </w:r>
          </w:p>
          <w:p w14:paraId="57DCA59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12.采用高性能的网络处理芯片，实时操作系统，开机启动时间≤0.1S,与网络化主机连线时间≤2S，实时性强，播放实时节目延时≤0.2S；</w:t>
            </w:r>
          </w:p>
          <w:p w14:paraId="46C87B8D">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13.采用网络数据流解码算法，话筒寻呼、外置线路广播，实时性强，保持寻呼状态大于24小时后延时≤0.5S；</w:t>
            </w:r>
          </w:p>
          <w:p w14:paraId="14389BD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14.内置拨码开关，可恢复到默认参数，方便用户维护；</w:t>
            </w:r>
          </w:p>
          <w:p w14:paraId="5C69692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15.设备参数可通过PC软件修改，并且可通过HTTP网页登录修改。</w:t>
            </w:r>
          </w:p>
        </w:tc>
        <w:tc>
          <w:tcPr>
            <w:tcW w:w="371" w:type="pct"/>
            <w:shd w:val="clear" w:color="auto" w:fill="auto"/>
            <w:vAlign w:val="center"/>
          </w:tcPr>
          <w:p w14:paraId="52F3894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3E75F8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35CE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1A1E73E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7FB3093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前置放大器</w:t>
            </w:r>
          </w:p>
        </w:tc>
        <w:tc>
          <w:tcPr>
            <w:tcW w:w="2964" w:type="pct"/>
            <w:shd w:val="clear" w:color="auto" w:fill="auto"/>
            <w:vAlign w:val="center"/>
          </w:tcPr>
          <w:p w14:paraId="2BCAF55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1.多种、多个输入/输出口：5个话筒口；3个辅助口；2个优先口；4个输出口。</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2.各通道独立音量控制。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3.高音和低音音调控制。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4.自动默音（有强插功能）。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b/>
                <w:bCs/>
                <w:color w:val="000000" w:themeColor="text1"/>
                <w:kern w:val="0"/>
                <w:sz w:val="24"/>
                <w:szCs w:val="24"/>
                <w14:textFill>
                  <w14:solidFill>
                    <w14:schemeClr w14:val="tx1"/>
                  </w14:solidFill>
                </w14:textFill>
              </w:rPr>
              <w:t>性能规格：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1.最小源电动势 Mic：≤3.2mV， 不平衡/Aux：≤300mV 不平衡/EMC：≤450mV</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2.输出电平 0dBV</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3.频率响应 Line：30Hz-20KHz （±3dB）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4.总谐波失真 Aux：≤0.1%（1KHz，额定正常工作条件）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5.信噪比 Aux input：≥66dB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6.音调调节范围 Bass：±10dB（100Hz）/Treble：±10dB（10kHz）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7.保护 AC保险丝</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8.电源 AC 220V/50Hz</w:t>
            </w:r>
          </w:p>
        </w:tc>
        <w:tc>
          <w:tcPr>
            <w:tcW w:w="371" w:type="pct"/>
            <w:shd w:val="clear" w:color="auto" w:fill="auto"/>
            <w:vAlign w:val="center"/>
          </w:tcPr>
          <w:p w14:paraId="2431D05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261237A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043D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FB8147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4ED2571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八路天线放大器</w:t>
            </w:r>
          </w:p>
        </w:tc>
        <w:tc>
          <w:tcPr>
            <w:tcW w:w="2964" w:type="pct"/>
            <w:shd w:val="clear" w:color="auto" w:fill="auto"/>
            <w:vAlign w:val="center"/>
          </w:tcPr>
          <w:p w14:paraId="6584C6E7">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系统参数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1.天线翼板与强波器参数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天线类型：对数周期指向（LPDA）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频率范围：400-950MHz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输出接口：卡口母座（BNC)</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天线阻抗：50 Ω</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内置强波器：+2db,+6db,+8db,+12db（四档可调）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工作状态指示： 带电源与增益量LED指示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指向性：水平90°垂直60°</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指向极性：垂直极化</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工作电压：偏压电源8~15 V DC</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外观尺寸（mm） ：320×275×22</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2.分配主机参数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高频信号输入：2路BNC输入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输入端信号最大灵敏度：+32dBm</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系统工作总电源： 12V3A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放大信号输出:  8路BNC输出+ 2路BNC备用级联输出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系统DC输出： 4路DC  12V/1A 输出（为接收机供电）</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输出/入阻抗： 50 Ω</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系统信号输入端对外供电： +8.0V DC / 200mA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外观尺寸（mm）：482长×45高×200宽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3.同轴电缆参数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线材规格：发泡聚乙烯绝缘同轴电缆LMR195</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阻抗：50Ω</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弯曲半径：25mm</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线损：≤0.24db/m(20度）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线径：6mm</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 材质结构：5层带编织线与屏蔽层铜芯线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备注：50米线长信号通过衰减为-5dBM，10米长内信号衰减可忽略不计。</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产品特点：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1.有效工作频率为400MHZ-950MHZ，信号增益+2DBM到+12DBM可调。</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2.基本兼容市面上大部分品牌UHF频段无线麦克风接收机工作使用。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3.在天线板安装了高效的强滤波电路，有效过滤与隔离了工作范围外的干忧信号的输入。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4.在天线板加入了高性能的高频增益芯片，可对话筒信号进行无损的增强与补偿。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5.系统分配主机提供了8路稳定高质量信号输出（可多机级联增路）。</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6.系统分配主机提供了4路稳定的 DC电源输出，专为话筒接收机供电。（每路负载12V/1A)。</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7.所有同轴电缆线材为5层结构的带屏蔽铝箔的高频铜芯专用线。</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8.系统提供两个可伸缩与转向调节的天线板金属安装支架。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9.定向天线翼板与增益强波器控制电路巧妙一体化设计，结构更简洁耐用。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10.天线翼板上的强波器电路由散热快的铝合金外壳密封，防淋雨防晒，适合户外长期固定安装。</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11.系统主机设计有系统连接状态指示灯，当天线板正常安装并工作的时候，指示灯长亮。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12.天线翼板设计有连接状态指示灯，当与系统主机正常连接并工作的时候，指示灯长亮。</w:t>
            </w:r>
          </w:p>
        </w:tc>
        <w:tc>
          <w:tcPr>
            <w:tcW w:w="371" w:type="pct"/>
            <w:shd w:val="clear" w:color="auto" w:fill="auto"/>
            <w:vAlign w:val="center"/>
          </w:tcPr>
          <w:p w14:paraId="31CF6B8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7D5CEB3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1F98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845750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879" w:type="pct"/>
            <w:vAlign w:val="center"/>
          </w:tcPr>
          <w:p w14:paraId="6044A32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真分集无线话筒</w:t>
            </w:r>
          </w:p>
        </w:tc>
        <w:tc>
          <w:tcPr>
            <w:tcW w:w="2964" w:type="pct"/>
            <w:shd w:val="clear" w:color="auto" w:fill="auto"/>
            <w:vAlign w:val="center"/>
          </w:tcPr>
          <w:p w14:paraId="079F665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1.波段范围（UHF）：632MHz～695MHz；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2.PLL双频道锁相环回路设计；</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3.UHF200频道PLL数字锁定自动通讯功能；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4.显示屏显示功能(显示频率、频道、静噪、电平等)；</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5.每通道有音量调节功能；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6.AF输出（采用“XLR”型插座分别输出，混合输出）；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7.发射功率调节，高功率14dBm; 低功率6dBm；</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8.发射机采用2节5号1.5V碱性电池；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9.动态范围：88dB;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10.最大频偏：±45KHz；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11.频率响应：120Hz-16KHz(±3dB)；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12.综合信噪比：&gt;73dB；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13.综合失真度：≤1%；</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14.发射机工作时间8小时以上；</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15.含1台一拖二接收机及2只手持式话筒.</w:t>
            </w:r>
          </w:p>
        </w:tc>
        <w:tc>
          <w:tcPr>
            <w:tcW w:w="371" w:type="pct"/>
            <w:shd w:val="clear" w:color="auto" w:fill="auto"/>
            <w:vAlign w:val="center"/>
          </w:tcPr>
          <w:p w14:paraId="0925EF0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0F50783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07BD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37FD68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w:t>
            </w:r>
          </w:p>
        </w:tc>
        <w:tc>
          <w:tcPr>
            <w:tcW w:w="879" w:type="pct"/>
            <w:vAlign w:val="center"/>
          </w:tcPr>
          <w:p w14:paraId="2437655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网络化无线遥控终端</w:t>
            </w:r>
          </w:p>
        </w:tc>
        <w:tc>
          <w:tcPr>
            <w:tcW w:w="2964" w:type="pct"/>
            <w:shd w:val="clear" w:color="auto" w:fill="auto"/>
            <w:vAlign w:val="center"/>
          </w:tcPr>
          <w:p w14:paraId="68998C37">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1.支持100/1000Mbps自适应TCP/IP网络传输协议；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2.双RJ45网络接口冗余设计，可跨网段工作；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3.可接入网络化广播系统的局域网内的任意一点，安装位置灵活，安装于利于无线接收信号的位置，控制更可靠、稳定，是一款基于TCP/IP传输协议的网络全数字化的模数转换信号处理器；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4.内置无线遥控接收模块，接收灵敏度高；</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5.无线遥控器无线传输距离远，开阔地&gt;1.5公里；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6.无线遥控器集成12个按键，可定制相应的功能键；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7.能够控制全区播放特定的音源、全区停止播放、选定分区播放特定音源、选定分区停止等操作；</w:t>
            </w:r>
          </w:p>
        </w:tc>
        <w:tc>
          <w:tcPr>
            <w:tcW w:w="371" w:type="pct"/>
            <w:shd w:val="clear" w:color="auto" w:fill="auto"/>
            <w:vAlign w:val="center"/>
          </w:tcPr>
          <w:p w14:paraId="65A5139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08ED5A2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19F9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0E3AB6D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w:t>
            </w:r>
          </w:p>
        </w:tc>
        <w:tc>
          <w:tcPr>
            <w:tcW w:w="879" w:type="pct"/>
            <w:vAlign w:val="center"/>
          </w:tcPr>
          <w:p w14:paraId="1C27306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纯后级广播功放</w:t>
            </w:r>
          </w:p>
        </w:tc>
        <w:tc>
          <w:tcPr>
            <w:tcW w:w="2964" w:type="pct"/>
            <w:shd w:val="clear" w:color="auto" w:fill="auto"/>
            <w:vAlign w:val="center"/>
          </w:tcPr>
          <w:p w14:paraId="62F2CCE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1.100V、70V定压输出和P1输出（不接地）。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2.5单位LED显示器，作状态显示。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3.6.35mm插口和XLR插口供方便地实现环接。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4.输出短路保护并示警。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b/>
                <w:bCs/>
                <w:color w:val="000000" w:themeColor="text1"/>
                <w:kern w:val="0"/>
                <w:sz w:val="24"/>
                <w:szCs w:val="24"/>
                <w14:textFill>
                  <w14:solidFill>
                    <w14:schemeClr w14:val="tx1"/>
                  </w14:solidFill>
                </w14:textFill>
              </w:rPr>
              <w:t>性能规格：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1.额定输出功率</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1050W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2.最小源电动势</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≤1100mV</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3.额定输出电压</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P1，70V，100V</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4.信噪比</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≥82dB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5.频率响应</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80Hz-15KHz（±3dB）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6.总谐波失真</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≤1%（1KHz，正常工作条件）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7.指示灯</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“电源”，“削顶”，“信号”，“保护”和“超温”</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8.保护功能</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高温，直流，短路</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9.额定功耗</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1800W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10.额定电源电压</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AC220V/50Hz</w:t>
            </w:r>
          </w:p>
        </w:tc>
        <w:tc>
          <w:tcPr>
            <w:tcW w:w="371" w:type="pct"/>
            <w:shd w:val="clear" w:color="auto" w:fill="auto"/>
            <w:vAlign w:val="center"/>
          </w:tcPr>
          <w:p w14:paraId="17AC360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44A2730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4200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239B23B2">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1A0D4345">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金钥匙广场</w:t>
            </w:r>
          </w:p>
        </w:tc>
        <w:tc>
          <w:tcPr>
            <w:tcW w:w="2964" w:type="pct"/>
            <w:shd w:val="clear" w:color="auto" w:fill="FABF8F"/>
            <w:vAlign w:val="center"/>
          </w:tcPr>
          <w:p w14:paraId="6EC94945">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3B0CC3EB">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73C4DEEB">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5126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191F99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1D85F90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室外音柱（白）</w:t>
            </w:r>
          </w:p>
        </w:tc>
        <w:tc>
          <w:tcPr>
            <w:tcW w:w="2964" w:type="pct"/>
            <w:shd w:val="clear" w:color="auto" w:fill="auto"/>
            <w:vAlign w:val="center"/>
          </w:tcPr>
          <w:p w14:paraId="3749DB47">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1.此款扬声器采用铝合金外壳，表面UV抗紫外线烤漆处理，拥有极强质感的外观，并且能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2.够提供专业级别的声音表现，能够满足苛刻要求的场所需求。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3.全天候设计，选用防水单元，室内外均宜。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4.外观小巧美观，适合各种场所装饰。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5.采用3"灰色聚丙烯鼓纸的全频锥型低音单元和2"高音单元组合，频响宽，低音层次清晰、高音清澈明亮。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6.功率多档可调，配有独立调节旋钮，能适应不同场所的需求。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7.坚固的铝合金箱体，不易变形，不生锈。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8.E型纯铜线匝音频变压器，确保音频输出保真度。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9.配有多功能安装支架，便捷安装。</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10.喇叭单元</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3"×4， 2”×1</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11.额定功率（RMS）</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60W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12.频响范围</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140Hz-20kHz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13.灵敏度（1m，1W）</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89±3dB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14.最大声压级（1m）</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107±3dB</w:t>
            </w:r>
          </w:p>
        </w:tc>
        <w:tc>
          <w:tcPr>
            <w:tcW w:w="371" w:type="pct"/>
            <w:shd w:val="clear" w:color="auto" w:fill="auto"/>
            <w:vAlign w:val="center"/>
          </w:tcPr>
          <w:p w14:paraId="276E0FE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4465EED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r>
      <w:tr w14:paraId="37DA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9341ED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4064DD6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358EED5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5.功放最大输出功率为350W。醒目的数码显示屏设计，既可显示时钟时间，也可显示播放进度时间。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30.可通过网络设置网络音源、本地线路音源、本地话筒音源三者的音源优先等级及优先深度。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4732E56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0697D4B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4A48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5C14A56D">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25DD8A31">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2964" w:type="pct"/>
            <w:shd w:val="clear" w:color="auto" w:fill="FABF8F"/>
            <w:vAlign w:val="center"/>
          </w:tcPr>
          <w:p w14:paraId="708425AA">
            <w:pPr>
              <w:widowControl/>
              <w:jc w:val="left"/>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图书馆、高中食堂、科技实验楼、报告厅、礼堂艺术楼室外</w:t>
            </w:r>
          </w:p>
        </w:tc>
        <w:tc>
          <w:tcPr>
            <w:tcW w:w="371" w:type="pct"/>
            <w:shd w:val="clear" w:color="auto" w:fill="FABF8F"/>
            <w:vAlign w:val="center"/>
          </w:tcPr>
          <w:p w14:paraId="18A5E352">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2F0E7E4E">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5D35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219BC5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2B6A47B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室外音柱（白）</w:t>
            </w:r>
          </w:p>
        </w:tc>
        <w:tc>
          <w:tcPr>
            <w:tcW w:w="2964" w:type="pct"/>
            <w:shd w:val="clear" w:color="auto" w:fill="auto"/>
            <w:vAlign w:val="center"/>
          </w:tcPr>
          <w:p w14:paraId="07C14D8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1.此款扬声器采用铝合金外壳，表面UV抗紫外线烤漆处理，拥有极强质感的外观，并且能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2.够提供专业级别的声音表现，能够满足苛刻要求的场所需求。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3.全天候设计，选用防水单元，室内外均宜。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4.外观小巧美观，适合各种场所装饰。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5.采用3"灰色聚丙烯鼓纸的全频锥型低音单元和2"高音单元组合，频响宽，低音层次清晰、高音清澈明亮。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6.功率多档可调，配有独立调节旋钮，能适应不同场所的需求。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7.坚固的铝合金箱体，不易变形，不生锈。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8.E型纯铜线匝音频变压器，确保音频输出保真度。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9.配有多功能安装支架，便捷安装。</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10.喇叭单元</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3"×4， 2”×1</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11.额定功率（RMS）</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60W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12.频响范围</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140Hz-20kHz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13.灵敏度（1m，1W）</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89±3dB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14.最大声压级（1m）</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107±3dB</w:t>
            </w:r>
          </w:p>
        </w:tc>
        <w:tc>
          <w:tcPr>
            <w:tcW w:w="371" w:type="pct"/>
            <w:shd w:val="clear" w:color="auto" w:fill="auto"/>
            <w:vAlign w:val="center"/>
          </w:tcPr>
          <w:p w14:paraId="1DC7762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080C8EA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w:t>
            </w:r>
          </w:p>
        </w:tc>
      </w:tr>
      <w:tr w14:paraId="29AA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A7789A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1DC9E08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6BA335A9">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1.采用铝合金拉丝面板制造。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2.可挂接在网络到达的任何地方，采用DSPPA网络自主研发的网络传输协议，动态音频数据传输。双网络接口冗余设计，可跨网段工作。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3.内置高效率数字功放，100V定压输出，效率高达90%以上。</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5.功放最大输出功率为1000W。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14.带有周边设备扩展接口，可外接86盒点播彩屏，可外接双86盒的求助对讲面板、两用对讲面板,也可以连接蓝牙音频接收器。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16.可定制联动触发功能，可定制100V 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19.采用高保真CD音质的解码芯片，最大支持48KHZ采样率16bit的MP3/WMA/WAV/PCM音频流数据解码。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20.全数字化设计，高性能，高保真，语音传输指数高等优点。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29.可通过网络设置网络音源、本地线路音源、本地话筒音源三者的音源优先等级及优先深度。</w:t>
            </w:r>
          </w:p>
        </w:tc>
        <w:tc>
          <w:tcPr>
            <w:tcW w:w="371" w:type="pct"/>
            <w:shd w:val="clear" w:color="auto" w:fill="auto"/>
            <w:vAlign w:val="center"/>
          </w:tcPr>
          <w:p w14:paraId="6F4E72F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2F9CDD7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2646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7C6F7940">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71FC9ADE">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学生宿舍楼室外</w:t>
            </w:r>
          </w:p>
        </w:tc>
        <w:tc>
          <w:tcPr>
            <w:tcW w:w="2964" w:type="pct"/>
            <w:shd w:val="clear" w:color="auto" w:fill="FABF8F"/>
            <w:vAlign w:val="center"/>
          </w:tcPr>
          <w:p w14:paraId="10A6F1C6">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6F95F877">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6769EEA1">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08A6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B9CB77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3A82ED4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室外音柱（白）</w:t>
            </w:r>
          </w:p>
        </w:tc>
        <w:tc>
          <w:tcPr>
            <w:tcW w:w="2964" w:type="pct"/>
            <w:shd w:val="clear" w:color="auto" w:fill="auto"/>
            <w:vAlign w:val="center"/>
          </w:tcPr>
          <w:p w14:paraId="5E5BD193">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1.此款扬声器采用铝合金外壳，表面UV抗紫外线烤漆处理，拥有极强质感的外观，并且能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2.够提供专业级别的声音表现，能够满足苛刻要求的场所需求。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3.全天候设计，选用防水单元，室内外均宜。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4.外观小巧美观，适合各种场所装饰。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5.采用3"灰色聚丙烯鼓纸的全频锥型低音单元和2"高音单元组合，频响宽，低音层次清晰、高音清澈明亮。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6.功率多档可调，配有独立调节旋钮，能适应不同场所的需求。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7.坚固的铝合金箱体，不易变形，不生锈。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8.E型纯铜线匝音频变压器，确保音频输出保真度。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9.配有多功能安装支架，便捷安装。</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10.喇叭单元</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3"×4， 2”×1</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11.额定功率（RMS）</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60W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12.频响范围</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140Hz-20kHz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13.灵敏度（1m，1W）</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89±3dB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14.最大声压级（1m）</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107±3dB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15.产品尺寸（高×宽×深）</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606×109×102mm</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16.产品包装尺寸</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725×280×160mm</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17.产品净重</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4KG</w:t>
            </w:r>
          </w:p>
        </w:tc>
        <w:tc>
          <w:tcPr>
            <w:tcW w:w="371" w:type="pct"/>
            <w:shd w:val="clear" w:color="auto" w:fill="auto"/>
            <w:vAlign w:val="center"/>
          </w:tcPr>
          <w:p w14:paraId="0383CDA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7274F33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r>
      <w:tr w14:paraId="6375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010FBF0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06AEA1F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0B88AA7B">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4.内置高效率数字功放，100V定压输出，效率高达90%以上。自带MP3播放器，设有USB插口、SD插口，用以播放本地节目。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5.功放最大输出功率为350W。醒目的数码显示屏设计，既可显示时钟时间，也可显示播放进度时间。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8.面板集成5个状态指示灯，工作状态一目了然。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9.面板装有8个快捷按键，方便本地用户日常使用。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10.内置脱机本地定时点播放功能，定时节目备份存储到SD卡里，并全自动备份定时点节目。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11.外置一路AUX线路输入、一路话筒输入、一路AUX线路输出，方便扩展本地其它音源广播，与本地功率扩展。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12.外置EMC 24V与短路干触点两种强播输出接口，可连接扬声器音控器使用，或连接智能电源。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13.带有周边设备扩展接口，可外接86盒点播彩屏，可外接双86盒的求助对讲面板、两用对讲面板,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14.点播功能：连接86盒点播彩屏后，可实现本地点播主机的海量节目库。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15.寻呼功能：连接86盒点播彩屏后，可对选定的分区实时寻呼。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18.外接线路输入与网络播放节目源是混合的关系，本地话筒与AUX输入通过检测输入信号的大小而打开功放。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19.可定制联动触发功能，可定制100V本地紧急线路输入，方便接入消防本地广播系统。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21.可播放来自系统主机的背景音乐、紧急寻呼、告警信号等，网络节目源具有7级以上优先等级管理功能，分为背景广播、业务广播、紧急广播三大类。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22.采用高保真CD音质的解码芯片，最大支持48KHZ采样率16bit的MP3/WMA/WAV/PCM音频流数据解码。全数字化设计，高性能，高保真，语音传输指数高等优点。内置看门狗功能，有效保障设备的正常运行。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24.内置DSP音效处理芯片，具有高、低音调调节功能，更适用于不同环境的补偿，让广播指标进一步提升。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30.可通过网络设置网络音源、本地线路音源、本地话筒音源三者的音源优先等级及优先深度。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1500E96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5F07018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5388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0502511F">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879" w:type="pct"/>
            <w:shd w:val="clear" w:color="auto" w:fill="FABF8F"/>
            <w:vAlign w:val="center"/>
          </w:tcPr>
          <w:p w14:paraId="25118BEA">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校门口</w:t>
            </w:r>
          </w:p>
        </w:tc>
        <w:tc>
          <w:tcPr>
            <w:tcW w:w="2964" w:type="pct"/>
            <w:shd w:val="clear" w:color="auto" w:fill="FABF8F"/>
            <w:vAlign w:val="center"/>
          </w:tcPr>
          <w:p w14:paraId="196F1AF4">
            <w:pPr>
              <w:widowControl/>
              <w:jc w:val="left"/>
              <w:rPr>
                <w:rFonts w:hint="eastAsia" w:ascii="仿宋" w:hAnsi="仿宋" w:eastAsia="仿宋" w:cs="仿宋"/>
                <w:b/>
                <w:bCs/>
                <w:color w:val="000000" w:themeColor="text1"/>
                <w:kern w:val="0"/>
                <w:sz w:val="24"/>
                <w:szCs w:val="24"/>
                <w14:textFill>
                  <w14:solidFill>
                    <w14:schemeClr w14:val="tx1"/>
                  </w14:solidFill>
                </w14:textFill>
              </w:rPr>
            </w:pPr>
          </w:p>
        </w:tc>
        <w:tc>
          <w:tcPr>
            <w:tcW w:w="371" w:type="pct"/>
            <w:shd w:val="clear" w:color="auto" w:fill="FABF8F"/>
            <w:vAlign w:val="center"/>
          </w:tcPr>
          <w:p w14:paraId="5669B8F6">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c>
          <w:tcPr>
            <w:tcW w:w="440" w:type="pct"/>
            <w:shd w:val="clear" w:color="auto" w:fill="FABF8F"/>
            <w:vAlign w:val="center"/>
          </w:tcPr>
          <w:p w14:paraId="30E9A9A8">
            <w:pPr>
              <w:widowControl/>
              <w:jc w:val="center"/>
              <w:rPr>
                <w:rFonts w:hint="eastAsia" w:ascii="仿宋" w:hAnsi="仿宋" w:eastAsia="仿宋" w:cs="仿宋"/>
                <w:b/>
                <w:bCs/>
                <w:color w:val="000000" w:themeColor="text1"/>
                <w:kern w:val="0"/>
                <w:sz w:val="24"/>
                <w:szCs w:val="24"/>
                <w14:textFill>
                  <w14:solidFill>
                    <w14:schemeClr w14:val="tx1"/>
                  </w14:solidFill>
                </w14:textFill>
              </w:rPr>
            </w:pPr>
          </w:p>
        </w:tc>
      </w:tr>
      <w:tr w14:paraId="7AC9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6A60047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5A0D0EA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室外音柱（白）</w:t>
            </w:r>
          </w:p>
        </w:tc>
        <w:tc>
          <w:tcPr>
            <w:tcW w:w="2964" w:type="pct"/>
            <w:shd w:val="clear" w:color="auto" w:fill="auto"/>
            <w:vAlign w:val="center"/>
          </w:tcPr>
          <w:p w14:paraId="058CA166">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1.此款扬声器采用铝合金外壳，表面UV抗紫外线烤漆处理，拥有极强质感的外观，并且能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2.够提供专业级别的声音表现，能够满足苛刻要求的场所需求。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3.全天候设计，选用防水单元，室内外均宜。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4.外观小巧美观，适合各种场所装饰。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5.采用3"灰色聚丙烯鼓纸的全频锥型低音单元和2"高音单元组合，频响宽，低音层次清晰、高音清澈明亮。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6.功率多档可调，配有独立调节旋钮，能适应不同场所的需求。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7.坚固的铝合金箱体，不易变形，不生锈。</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8.E型纯铜线匝音频变压器，确保音频输出保真度。</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9.配有多功能安装支架，便捷安装。</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10.喇叭单元</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3"×4， 2”×1</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11.额定功率（RMS）</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60W</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12.频响范围</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140Hz-20kHz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13.灵敏度（1m，1W）</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89±3dB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14.最大声压级（1m）</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107±3dB</w:t>
            </w:r>
          </w:p>
        </w:tc>
        <w:tc>
          <w:tcPr>
            <w:tcW w:w="371" w:type="pct"/>
            <w:shd w:val="clear" w:color="auto" w:fill="auto"/>
            <w:vAlign w:val="center"/>
          </w:tcPr>
          <w:p w14:paraId="7F186FA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77FC4A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r>
      <w:tr w14:paraId="1F84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008C70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549276D4">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真分集无线话筒</w:t>
            </w:r>
          </w:p>
        </w:tc>
        <w:tc>
          <w:tcPr>
            <w:tcW w:w="2964" w:type="pct"/>
            <w:shd w:val="clear" w:color="auto" w:fill="auto"/>
            <w:vAlign w:val="center"/>
          </w:tcPr>
          <w:p w14:paraId="783DD451">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1.波段范围（UHF）：632MHz～695MHz；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2.PLL双频道锁相环回路设计；</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3.UHF200频道PLL数字锁定自动通讯功能；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4.显示屏显示功能(显示频率、频道、静噪、电平等)；</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5.每通道有音量调节功能；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6.AF输出（采用“XLR”型插座分别输出，混合输出）；</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7.发射功率调节，高功率14dBm; 低功率6dBm；</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8.发射机采用2节5号1.5V碱性电池；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9.动态范围：88dB;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10.最大频偏：±45KHz；</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11.频率响应：120Hz-16KHz(±3dB)；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12.综合信噪比：&gt;73dB；</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13.综合失真度：≤1%；</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14.发射机工作时间8小时以上；</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15.含1台一拖二接收机及2只手持式话筒.</w:t>
            </w:r>
          </w:p>
        </w:tc>
        <w:tc>
          <w:tcPr>
            <w:tcW w:w="371" w:type="pct"/>
            <w:shd w:val="clear" w:color="auto" w:fill="auto"/>
            <w:vAlign w:val="center"/>
          </w:tcPr>
          <w:p w14:paraId="7707269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685FDF0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58DC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4D95FF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2D35A0BF">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网络化播放功放（1U）</w:t>
            </w:r>
          </w:p>
        </w:tc>
        <w:tc>
          <w:tcPr>
            <w:tcW w:w="2964" w:type="pct"/>
            <w:shd w:val="clear" w:color="auto" w:fill="auto"/>
            <w:vAlign w:val="center"/>
          </w:tcPr>
          <w:p w14:paraId="14E0AAC1">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1.采用铝合金磨砂面板制造，可挂接在网络到达的任何地方。</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2.采用网络自主研发的网络传输协议，动态音频数据传输。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3.双网络接口冗余设计，可跨网段工作。</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4.内置高效率数字功放，100V 定压输出，效率高达 90%以上。自带 MP3 播放器，设有 USB 插口、SD 插口，用以播放本地节目。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5.功放最大输出功率为250W。醒目的数码显示屏设计，既可显示时钟时间，也可显示播放进度时间。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6.具有时间帧同步机制，本机时钟与网络化主机时钟实时同步。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7.内置红外接收模块，可通过红外线遥控器控制，方便易用。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8.面板集成 5 个状态指示灯，工作状态一目了然。</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9.面板装有 8 个快捷按键，方便本地用户日常使用。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10.内置脱机本地定时点播放功能，定时节目备份存储到 SD 卡里，并全自动备份定时点节目。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11.外置一路 AUX 线路输入、一路话筒输入、一路 AUX 线路输出，方便扩展本地其它音源广播，与本地功率扩展。</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12.外置 EMC 24V 与短路干触点两种强播输出接口，可连接扬声器音控器使用，或连接智能电源。</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13.带有周边设备扩展接口，可外接 86 盒点播彩屏，可外接双 86 盒的求助对讲面板、两用对讲面板, 也可以连接蓝牙音频接收器。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14.点播功能：连接 86 盒点播彩屏后，可实现本地点播主机的海量节目库。</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15.寻呼功能：连接 86 盒点播彩屏后，可对选定的分区实时寻呼。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16.对讲功能：连接求助对讲面板后，可实现求助对讲功能。</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17.蓝牙音频接收功能：连接蓝牙扩展器后可接收蓝牙音频，方便学校、商场等利用蓝牙无线话筒实现本地无线话筒扩声。</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18.外接线路输入与网络播放节目源是混合的关系，本地话筒与 AUX 输入通过检测输入信号的大小而打开功放。</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19.可定制联动触发功能，可定制 100V 本地紧急线路输入，方便接入消防本地广播系统。</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20.具有网络播放功能，可播放网络化主机下发的节目源或网络化音频采集器的音频流。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21.可播放来自系统主机的背景音乐、紧急寻呼、告警信号等，网络节目源具有 7 级以上优先等级管理功能，分为背景广播、业务广播、紧急广播三大类。</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22.采用高保真 CD 音质的解码芯片，最大支持 48KHZ 采样率 16bit 的 MP3/WMA/WAV/PCM 音频流数据解码。全数字化设计，高性能，高保真，语音传输指数高等优点。内置看门狗功能，有效保障设备的正常运行。</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23.采用工业级芯片设计，工作环境温度广，适合室外安装与使用。</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24.内置 DSP 音效处理芯片，具有高、低音调调节功能，更适用于不同环境的补偿，让广播指标进一步提升。</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25.采用高性能的网络处理芯片，自主研发的实时操作系统，开机启动时间&lt;0.1S,与网络化主机连线时间&lt;2S，实时性强，播放实时节目延时&lt;0.2S.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26.自主研发的实时操作系统，实时性强，多台网络播放器广播节目播放声音实时同步，之间基本没有任何时间差异。</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27.采用自主研发的网络数据流解码算法，话筒寻呼、外置线路广播，实时性强，保持寻呼状态大于24 小时后延时&lt;0.5S.</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28.采用自主研发的网络数据纠错算法，保证传输数据实时性的同时，也保证接收数据的准确性，工作稳定可靠。</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29.本地输出音量及本地播放状态可控。</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 xml:space="preserve">30.可通过网络设置网络音源、本地线路音源、本地话筒音源三者的音源优先等级及优先深度。 </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31.具有备份功能，支持100V定压输入。</w:t>
            </w:r>
          </w:p>
        </w:tc>
        <w:tc>
          <w:tcPr>
            <w:tcW w:w="371" w:type="pct"/>
            <w:shd w:val="clear" w:color="auto" w:fill="auto"/>
            <w:vAlign w:val="center"/>
          </w:tcPr>
          <w:p w14:paraId="0A03649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3F36AA5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73B8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FABF8F"/>
            <w:vAlign w:val="center"/>
          </w:tcPr>
          <w:p w14:paraId="3B34DA07">
            <w:pPr>
              <w:widowControl/>
              <w:jc w:val="center"/>
              <w:rPr>
                <w:rFonts w:hint="eastAsia" w:ascii="仿宋" w:hAnsi="仿宋" w:eastAsia="仿宋" w:cs="仿宋"/>
                <w:color w:val="000000" w:themeColor="text1"/>
                <w:kern w:val="0"/>
                <w:sz w:val="24"/>
                <w:szCs w:val="24"/>
                <w14:textFill>
                  <w14:solidFill>
                    <w14:schemeClr w14:val="tx1"/>
                  </w14:solidFill>
                </w14:textFill>
              </w:rPr>
            </w:pPr>
          </w:p>
        </w:tc>
        <w:tc>
          <w:tcPr>
            <w:tcW w:w="879" w:type="pct"/>
            <w:shd w:val="clear" w:color="auto" w:fill="FABF8F"/>
            <w:vAlign w:val="center"/>
          </w:tcPr>
          <w:p w14:paraId="1717DA97">
            <w:pPr>
              <w:widowControl/>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辅助材料</w:t>
            </w:r>
          </w:p>
        </w:tc>
        <w:tc>
          <w:tcPr>
            <w:tcW w:w="2964" w:type="pct"/>
            <w:shd w:val="clear" w:color="auto" w:fill="FABF8F"/>
            <w:vAlign w:val="center"/>
          </w:tcPr>
          <w:p w14:paraId="23E8D9DE">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371" w:type="pct"/>
            <w:shd w:val="clear" w:color="auto" w:fill="FABF8F"/>
            <w:vAlign w:val="center"/>
          </w:tcPr>
          <w:p w14:paraId="36FACF86">
            <w:pPr>
              <w:widowControl/>
              <w:jc w:val="center"/>
              <w:rPr>
                <w:rFonts w:hint="eastAsia" w:ascii="仿宋" w:hAnsi="仿宋" w:eastAsia="仿宋" w:cs="仿宋"/>
                <w:color w:val="000000" w:themeColor="text1"/>
                <w:kern w:val="0"/>
                <w:sz w:val="24"/>
                <w:szCs w:val="24"/>
                <w14:textFill>
                  <w14:solidFill>
                    <w14:schemeClr w14:val="tx1"/>
                  </w14:solidFill>
                </w14:textFill>
              </w:rPr>
            </w:pPr>
          </w:p>
        </w:tc>
        <w:tc>
          <w:tcPr>
            <w:tcW w:w="440" w:type="pct"/>
            <w:shd w:val="clear" w:color="auto" w:fill="FABF8F"/>
            <w:vAlign w:val="center"/>
          </w:tcPr>
          <w:p w14:paraId="4EF81228">
            <w:pPr>
              <w:widowControl/>
              <w:jc w:val="center"/>
              <w:rPr>
                <w:rFonts w:hint="eastAsia" w:ascii="仿宋" w:hAnsi="仿宋" w:eastAsia="仿宋" w:cs="仿宋"/>
                <w:color w:val="000000" w:themeColor="text1"/>
                <w:kern w:val="0"/>
                <w:sz w:val="24"/>
                <w:szCs w:val="24"/>
                <w14:textFill>
                  <w14:solidFill>
                    <w14:schemeClr w14:val="tx1"/>
                  </w14:solidFill>
                </w14:textFill>
              </w:rPr>
            </w:pPr>
          </w:p>
        </w:tc>
      </w:tr>
      <w:tr w14:paraId="2F35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74E57D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79" w:type="pct"/>
            <w:vAlign w:val="center"/>
          </w:tcPr>
          <w:p w14:paraId="1B18A546">
            <w:pPr>
              <w:widowControl/>
              <w:jc w:val="center"/>
              <w:rPr>
                <w:rFonts w:hint="eastAsia" w:ascii="仿宋" w:hAnsi="仿宋" w:eastAsia="仿宋" w:cs="仿宋"/>
                <w:color w:val="000000" w:themeColor="text1"/>
                <w:kern w:val="0"/>
                <w:sz w:val="24"/>
                <w:szCs w:val="24"/>
                <w:lang w:eastAsia="zh-Hans"/>
                <w14:textFill>
                  <w14:solidFill>
                    <w14:schemeClr w14:val="tx1"/>
                  </w14:solidFill>
                </w14:textFill>
              </w:rPr>
            </w:pPr>
            <w:r>
              <w:rPr>
                <w:rFonts w:hint="eastAsia" w:ascii="仿宋" w:hAnsi="仿宋" w:eastAsia="仿宋" w:cs="仿宋"/>
                <w:color w:val="000000" w:themeColor="text1"/>
                <w:kern w:val="0"/>
                <w:sz w:val="24"/>
                <w:szCs w:val="24"/>
                <w:lang w:eastAsia="zh-Hans"/>
                <w14:textFill>
                  <w14:solidFill>
                    <w14:schemeClr w14:val="tx1"/>
                  </w14:solidFill>
                </w14:textFill>
              </w:rPr>
              <w:t>交换机</w:t>
            </w:r>
          </w:p>
        </w:tc>
        <w:tc>
          <w:tcPr>
            <w:tcW w:w="2964" w:type="pct"/>
            <w:shd w:val="clear" w:color="auto" w:fill="auto"/>
            <w:vAlign w:val="center"/>
          </w:tcPr>
          <w:p w14:paraId="3D2F13E8">
            <w:pPr>
              <w:widowControl/>
              <w:spacing w:before="0" w:after="0"/>
              <w:ind w:firstLine="1"/>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 交换容量≥128Gbps，包转发率≥95.7Mpps；</w:t>
            </w:r>
          </w:p>
          <w:p w14:paraId="521B772F">
            <w:pPr>
              <w:widowControl/>
              <w:spacing w:before="0" w:after="0"/>
              <w:ind w:firstLine="1"/>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 提供千兆电口≥24个；</w:t>
            </w:r>
          </w:p>
          <w:p w14:paraId="02B81FFE">
            <w:pPr>
              <w:widowControl/>
              <w:spacing w:before="0" w:after="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 MAC地址表≥16K；</w:t>
            </w:r>
          </w:p>
          <w:p w14:paraId="6CB0058C">
            <w:pPr>
              <w:widowControl/>
              <w:spacing w:before="0" w:after="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 集成企业级防雷电路，内置专业高耐压电源，保证设备可靠运行</w:t>
            </w:r>
          </w:p>
          <w:p w14:paraId="54753495">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 采用共享缓存架构，每个端口可利用的缓存空间扩大数倍，可大大增强突发大流量的转发性能；</w:t>
            </w:r>
          </w:p>
        </w:tc>
        <w:tc>
          <w:tcPr>
            <w:tcW w:w="371" w:type="pct"/>
            <w:shd w:val="clear" w:color="auto" w:fill="auto"/>
            <w:vAlign w:val="center"/>
          </w:tcPr>
          <w:p w14:paraId="2F6F282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5664027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w:t>
            </w:r>
          </w:p>
        </w:tc>
      </w:tr>
      <w:tr w14:paraId="320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7894952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79" w:type="pct"/>
            <w:vAlign w:val="center"/>
          </w:tcPr>
          <w:p w14:paraId="579D95D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壁挂机柜</w:t>
            </w:r>
          </w:p>
        </w:tc>
        <w:tc>
          <w:tcPr>
            <w:tcW w:w="2964" w:type="pct"/>
            <w:shd w:val="clear" w:color="auto" w:fill="auto"/>
            <w:vAlign w:val="center"/>
          </w:tcPr>
          <w:p w14:paraId="1D895D1C">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标准6U网络机柜。</w:t>
            </w:r>
          </w:p>
        </w:tc>
        <w:tc>
          <w:tcPr>
            <w:tcW w:w="371" w:type="pct"/>
            <w:shd w:val="clear" w:color="auto" w:fill="auto"/>
            <w:vAlign w:val="center"/>
          </w:tcPr>
          <w:p w14:paraId="39C5CC0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440" w:type="pct"/>
            <w:shd w:val="clear" w:color="auto" w:fill="auto"/>
            <w:vAlign w:val="center"/>
          </w:tcPr>
          <w:p w14:paraId="7430B54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w:t>
            </w:r>
          </w:p>
        </w:tc>
      </w:tr>
      <w:tr w14:paraId="7CA0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9533FA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79" w:type="pct"/>
            <w:vAlign w:val="center"/>
          </w:tcPr>
          <w:p w14:paraId="2220C8EF">
            <w:pPr>
              <w:widowControl/>
              <w:jc w:val="center"/>
              <w:rPr>
                <w:rFonts w:hint="eastAsia" w:ascii="仿宋" w:hAnsi="仿宋" w:eastAsia="仿宋" w:cs="仿宋"/>
                <w:color w:val="000000" w:themeColor="text1"/>
                <w:kern w:val="0"/>
                <w:sz w:val="24"/>
                <w:szCs w:val="24"/>
                <w:lang w:eastAsia="zh-Hans"/>
                <w14:textFill>
                  <w14:solidFill>
                    <w14:schemeClr w14:val="tx1"/>
                  </w14:solidFill>
                </w14:textFill>
              </w:rPr>
            </w:pPr>
            <w:r>
              <w:rPr>
                <w:rFonts w:hint="eastAsia" w:ascii="仿宋" w:hAnsi="仿宋" w:eastAsia="仿宋" w:cs="仿宋"/>
                <w:color w:val="000000" w:themeColor="text1"/>
                <w:kern w:val="0"/>
                <w:sz w:val="24"/>
                <w:szCs w:val="24"/>
                <w:lang w:eastAsia="zh-Hans"/>
                <w14:textFill>
                  <w14:solidFill>
                    <w14:schemeClr w14:val="tx1"/>
                  </w14:solidFill>
                </w14:textFill>
              </w:rPr>
              <w:t>机柜PDU插座</w:t>
            </w:r>
          </w:p>
        </w:tc>
        <w:tc>
          <w:tcPr>
            <w:tcW w:w="2964" w:type="pct"/>
            <w:shd w:val="clear" w:color="auto" w:fill="auto"/>
            <w:vAlign w:val="center"/>
          </w:tcPr>
          <w:p w14:paraId="4E9B237C">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10A输入，6口10A万能插口输出</w:t>
            </w:r>
          </w:p>
        </w:tc>
        <w:tc>
          <w:tcPr>
            <w:tcW w:w="371" w:type="pct"/>
            <w:shd w:val="clear" w:color="auto" w:fill="auto"/>
            <w:vAlign w:val="center"/>
          </w:tcPr>
          <w:p w14:paraId="30AD300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个</w:t>
            </w:r>
          </w:p>
        </w:tc>
        <w:tc>
          <w:tcPr>
            <w:tcW w:w="440" w:type="pct"/>
            <w:shd w:val="clear" w:color="auto" w:fill="auto"/>
            <w:vAlign w:val="center"/>
          </w:tcPr>
          <w:p w14:paraId="7F1755A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r>
      <w:tr w14:paraId="7108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6B2048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79" w:type="pct"/>
            <w:vAlign w:val="center"/>
          </w:tcPr>
          <w:p w14:paraId="2EFC4FD3">
            <w:pPr>
              <w:widowControl/>
              <w:jc w:val="center"/>
              <w:rPr>
                <w:rFonts w:hint="eastAsia" w:ascii="仿宋" w:hAnsi="仿宋" w:eastAsia="仿宋" w:cs="仿宋"/>
                <w:color w:val="000000" w:themeColor="text1"/>
                <w:kern w:val="0"/>
                <w:sz w:val="24"/>
                <w:szCs w:val="24"/>
                <w:lang w:eastAsia="zh-Hans"/>
                <w14:textFill>
                  <w14:solidFill>
                    <w14:schemeClr w14:val="tx1"/>
                  </w14:solidFill>
                </w14:textFill>
              </w:rPr>
            </w:pPr>
            <w:r>
              <w:rPr>
                <w:rFonts w:hint="eastAsia" w:ascii="仿宋" w:hAnsi="仿宋" w:eastAsia="仿宋" w:cs="仿宋"/>
                <w:color w:val="000000" w:themeColor="text1"/>
                <w:kern w:val="0"/>
                <w:sz w:val="24"/>
                <w:szCs w:val="24"/>
                <w:lang w:eastAsia="zh-Hans"/>
                <w14:textFill>
                  <w14:solidFill>
                    <w14:schemeClr w14:val="tx1"/>
                  </w14:solidFill>
                </w14:textFill>
              </w:rPr>
              <w:t>六类双绞线</w:t>
            </w:r>
          </w:p>
        </w:tc>
        <w:tc>
          <w:tcPr>
            <w:tcW w:w="2964" w:type="pct"/>
            <w:shd w:val="clear" w:color="auto" w:fill="auto"/>
            <w:vAlign w:val="center"/>
          </w:tcPr>
          <w:p w14:paraId="07079C5F">
            <w:pPr>
              <w:pStyle w:val="1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1、六类双绞线 ；</w:t>
            </w:r>
          </w:p>
          <w:p w14:paraId="4A06A594">
            <w:pPr>
              <w:pStyle w:val="1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2、成品外径：≥6.3mm；</w:t>
            </w:r>
          </w:p>
          <w:p w14:paraId="7C0AFA06">
            <w:pPr>
              <w:pStyle w:val="1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3、导体：≥99.99%无氧铜；</w:t>
            </w:r>
          </w:p>
          <w:p w14:paraId="4C26C186">
            <w:pPr>
              <w:pStyle w:val="1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4、导体直径：23AWG；</w:t>
            </w:r>
          </w:p>
          <w:p w14:paraId="05DB0993">
            <w:pPr>
              <w:pStyle w:val="1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5、导体绝缘外径：≥1.1mm；</w:t>
            </w:r>
          </w:p>
          <w:p w14:paraId="289C6685">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6、芯数：4*2。</w:t>
            </w:r>
          </w:p>
        </w:tc>
        <w:tc>
          <w:tcPr>
            <w:tcW w:w="371" w:type="pct"/>
            <w:shd w:val="clear" w:color="auto" w:fill="auto"/>
            <w:vAlign w:val="center"/>
          </w:tcPr>
          <w:p w14:paraId="1315B8C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箱</w:t>
            </w:r>
          </w:p>
        </w:tc>
        <w:tc>
          <w:tcPr>
            <w:tcW w:w="440" w:type="pct"/>
            <w:shd w:val="clear" w:color="auto" w:fill="auto"/>
            <w:vAlign w:val="center"/>
          </w:tcPr>
          <w:p w14:paraId="435EC0E6">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40</w:t>
            </w:r>
          </w:p>
        </w:tc>
      </w:tr>
      <w:tr w14:paraId="56C4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C7C928D">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879" w:type="pct"/>
            <w:vAlign w:val="center"/>
          </w:tcPr>
          <w:p w14:paraId="7EBB011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组网设备</w:t>
            </w:r>
          </w:p>
        </w:tc>
        <w:tc>
          <w:tcPr>
            <w:tcW w:w="2964" w:type="pct"/>
            <w:shd w:val="clear" w:color="auto" w:fill="auto"/>
            <w:vAlign w:val="center"/>
          </w:tcPr>
          <w:p w14:paraId="077B2EE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用于组建局域网，连接网络主机和终端，包含收发器，跳线，跳纤，测试网络等等（不含楼栋之间的光纤线缆）水晶头；</w:t>
            </w:r>
          </w:p>
        </w:tc>
        <w:tc>
          <w:tcPr>
            <w:tcW w:w="371" w:type="pct"/>
            <w:shd w:val="clear" w:color="auto" w:fill="auto"/>
            <w:vAlign w:val="center"/>
          </w:tcPr>
          <w:p w14:paraId="1BC23CC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c>
          <w:tcPr>
            <w:tcW w:w="440" w:type="pct"/>
            <w:shd w:val="clear" w:color="auto" w:fill="auto"/>
            <w:vAlign w:val="center"/>
          </w:tcPr>
          <w:p w14:paraId="05A2DD1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r>
      <w:tr w14:paraId="20AD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4E187B3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w:t>
            </w:r>
          </w:p>
        </w:tc>
        <w:tc>
          <w:tcPr>
            <w:tcW w:w="879" w:type="pct"/>
            <w:vAlign w:val="center"/>
          </w:tcPr>
          <w:p w14:paraId="5B072A0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广播音箱线</w:t>
            </w:r>
          </w:p>
        </w:tc>
        <w:tc>
          <w:tcPr>
            <w:tcW w:w="2964" w:type="pct"/>
            <w:shd w:val="clear" w:color="auto" w:fill="auto"/>
            <w:vAlign w:val="center"/>
          </w:tcPr>
          <w:p w14:paraId="5AA0FA6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铜芯导体护套软电缆，每根电缆芯线的横截面积是1.0</w:t>
            </w:r>
            <w:r>
              <w:rPr>
                <w:rFonts w:hint="eastAsia" w:ascii="仿宋" w:hAnsi="仿宋" w:eastAsia="仿宋" w:cs="仿宋"/>
                <w:color w:val="000000" w:themeColor="text1"/>
                <w:kern w:val="0"/>
                <w:sz w:val="24"/>
                <w:szCs w:val="24"/>
                <w14:textFill>
                  <w14:solidFill>
                    <w14:schemeClr w14:val="tx1"/>
                  </w14:solidFill>
                </w14:textFill>
              </w:rPr>
              <w:t xml:space="preserve"> mm²</w:t>
            </w:r>
            <w:r>
              <w:rPr>
                <w:rFonts w:hint="eastAsia" w:ascii="仿宋" w:hAnsi="仿宋" w:eastAsia="仿宋" w:cs="仿宋"/>
                <w:color w:val="000000" w:themeColor="text1"/>
                <w:sz w:val="24"/>
                <w:szCs w:val="24"/>
                <w:shd w:val="clear" w:color="auto" w:fill="FFFFFF"/>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RVV2*1.0mm²；</w:t>
            </w:r>
          </w:p>
        </w:tc>
        <w:tc>
          <w:tcPr>
            <w:tcW w:w="371" w:type="pct"/>
            <w:shd w:val="clear" w:color="auto" w:fill="auto"/>
            <w:vAlign w:val="center"/>
          </w:tcPr>
          <w:p w14:paraId="6CB2C03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米</w:t>
            </w:r>
          </w:p>
        </w:tc>
        <w:tc>
          <w:tcPr>
            <w:tcW w:w="440" w:type="pct"/>
            <w:shd w:val="clear" w:color="auto" w:fill="auto"/>
            <w:vAlign w:val="center"/>
          </w:tcPr>
          <w:p w14:paraId="208501C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3600</w:t>
            </w:r>
          </w:p>
        </w:tc>
      </w:tr>
      <w:tr w14:paraId="565C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6016DFC">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w:t>
            </w:r>
          </w:p>
        </w:tc>
        <w:tc>
          <w:tcPr>
            <w:tcW w:w="879" w:type="pct"/>
            <w:vAlign w:val="center"/>
          </w:tcPr>
          <w:p w14:paraId="36FFC36E">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广播音箱线</w:t>
            </w:r>
          </w:p>
        </w:tc>
        <w:tc>
          <w:tcPr>
            <w:tcW w:w="2964" w:type="pct"/>
            <w:shd w:val="clear" w:color="auto" w:fill="auto"/>
            <w:vAlign w:val="center"/>
          </w:tcPr>
          <w:p w14:paraId="460B5528">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铜芯导体护套软电缆，每根电缆芯线的横截面积是1.0</w:t>
            </w:r>
            <w:r>
              <w:rPr>
                <w:rFonts w:hint="eastAsia" w:ascii="仿宋" w:hAnsi="仿宋" w:eastAsia="仿宋" w:cs="仿宋"/>
                <w:color w:val="000000" w:themeColor="text1"/>
                <w:kern w:val="0"/>
                <w:sz w:val="24"/>
                <w:szCs w:val="24"/>
                <w14:textFill>
                  <w14:solidFill>
                    <w14:schemeClr w14:val="tx1"/>
                  </w14:solidFill>
                </w14:textFill>
              </w:rPr>
              <w:t xml:space="preserve"> mm²</w:t>
            </w:r>
            <w:r>
              <w:rPr>
                <w:rFonts w:hint="eastAsia" w:ascii="仿宋" w:hAnsi="仿宋" w:eastAsia="仿宋" w:cs="仿宋"/>
                <w:color w:val="000000" w:themeColor="text1"/>
                <w:sz w:val="24"/>
                <w:szCs w:val="24"/>
                <w:shd w:val="clear" w:color="auto" w:fill="FFFFFF"/>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RVV2*1.5mm²；</w:t>
            </w:r>
          </w:p>
        </w:tc>
        <w:tc>
          <w:tcPr>
            <w:tcW w:w="371" w:type="pct"/>
            <w:shd w:val="clear" w:color="auto" w:fill="auto"/>
            <w:vAlign w:val="center"/>
          </w:tcPr>
          <w:p w14:paraId="3BCEB4E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米</w:t>
            </w:r>
          </w:p>
        </w:tc>
        <w:tc>
          <w:tcPr>
            <w:tcW w:w="440" w:type="pct"/>
            <w:shd w:val="clear" w:color="auto" w:fill="auto"/>
            <w:vAlign w:val="center"/>
          </w:tcPr>
          <w:p w14:paraId="03FDCAF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w:t>
            </w:r>
          </w:p>
        </w:tc>
      </w:tr>
      <w:tr w14:paraId="288F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179A7A5">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w:t>
            </w:r>
          </w:p>
        </w:tc>
        <w:tc>
          <w:tcPr>
            <w:tcW w:w="879" w:type="pct"/>
            <w:vAlign w:val="center"/>
          </w:tcPr>
          <w:p w14:paraId="4CCB7692">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同轴馈线</w:t>
            </w:r>
          </w:p>
        </w:tc>
        <w:tc>
          <w:tcPr>
            <w:tcW w:w="2964" w:type="pct"/>
            <w:shd w:val="clear" w:color="auto" w:fill="auto"/>
            <w:vAlign w:val="center"/>
          </w:tcPr>
          <w:p w14:paraId="4A3395B4">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同轴线需配合BNC头焊接。</w:t>
            </w:r>
          </w:p>
        </w:tc>
        <w:tc>
          <w:tcPr>
            <w:tcW w:w="371" w:type="pct"/>
            <w:shd w:val="clear" w:color="auto" w:fill="auto"/>
            <w:vAlign w:val="center"/>
          </w:tcPr>
          <w:p w14:paraId="3802F581">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米</w:t>
            </w:r>
          </w:p>
        </w:tc>
        <w:tc>
          <w:tcPr>
            <w:tcW w:w="440" w:type="pct"/>
            <w:shd w:val="clear" w:color="auto" w:fill="auto"/>
            <w:vAlign w:val="center"/>
          </w:tcPr>
          <w:p w14:paraId="64912AE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w:t>
            </w:r>
          </w:p>
        </w:tc>
      </w:tr>
      <w:tr w14:paraId="67CF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2D57D509">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w:t>
            </w:r>
          </w:p>
        </w:tc>
        <w:tc>
          <w:tcPr>
            <w:tcW w:w="879" w:type="pct"/>
            <w:vAlign w:val="center"/>
          </w:tcPr>
          <w:p w14:paraId="282679D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布线管</w:t>
            </w:r>
          </w:p>
        </w:tc>
        <w:tc>
          <w:tcPr>
            <w:tcW w:w="2964" w:type="pct"/>
            <w:shd w:val="clear" w:color="auto" w:fill="auto"/>
            <w:vAlign w:val="center"/>
          </w:tcPr>
          <w:p w14:paraId="6816E6F0">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布线整洁、保护线材，JDG/KBG管。</w:t>
            </w:r>
          </w:p>
        </w:tc>
        <w:tc>
          <w:tcPr>
            <w:tcW w:w="371" w:type="pct"/>
            <w:shd w:val="clear" w:color="auto" w:fill="auto"/>
            <w:vAlign w:val="center"/>
          </w:tcPr>
          <w:p w14:paraId="51A6681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米</w:t>
            </w:r>
          </w:p>
        </w:tc>
        <w:tc>
          <w:tcPr>
            <w:tcW w:w="440" w:type="pct"/>
            <w:shd w:val="clear" w:color="auto" w:fill="auto"/>
            <w:vAlign w:val="center"/>
          </w:tcPr>
          <w:p w14:paraId="77F43190">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4000</w:t>
            </w:r>
          </w:p>
        </w:tc>
      </w:tr>
      <w:tr w14:paraId="5D0F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3937812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w:t>
            </w:r>
          </w:p>
        </w:tc>
        <w:tc>
          <w:tcPr>
            <w:tcW w:w="879" w:type="pct"/>
            <w:vAlign w:val="center"/>
          </w:tcPr>
          <w:p w14:paraId="728BC9AB">
            <w:pPr>
              <w:widowControl/>
              <w:jc w:val="center"/>
              <w:rPr>
                <w:rFonts w:hint="eastAsia" w:ascii="仿宋" w:hAnsi="仿宋" w:eastAsia="仿宋" w:cs="仿宋"/>
                <w:color w:val="000000" w:themeColor="text1"/>
                <w:kern w:val="0"/>
                <w:sz w:val="24"/>
                <w:szCs w:val="24"/>
                <w:lang w:eastAsia="zh-Hans"/>
                <w14:textFill>
                  <w14:solidFill>
                    <w14:schemeClr w14:val="tx1"/>
                  </w14:solidFill>
                </w14:textFill>
              </w:rPr>
            </w:pPr>
            <w:r>
              <w:rPr>
                <w:rFonts w:hint="eastAsia" w:ascii="仿宋" w:hAnsi="仿宋" w:eastAsia="仿宋" w:cs="仿宋"/>
                <w:color w:val="000000" w:themeColor="text1"/>
                <w:kern w:val="0"/>
                <w:sz w:val="24"/>
                <w:szCs w:val="24"/>
                <w:lang w:eastAsia="zh-Hans"/>
                <w14:textFill>
                  <w14:solidFill>
                    <w14:schemeClr w14:val="tx1"/>
                  </w14:solidFill>
                </w14:textFill>
              </w:rPr>
              <w:t>施工辅材</w:t>
            </w:r>
          </w:p>
        </w:tc>
        <w:tc>
          <w:tcPr>
            <w:tcW w:w="2964" w:type="pct"/>
            <w:shd w:val="clear" w:color="auto" w:fill="auto"/>
            <w:vAlign w:val="center"/>
          </w:tcPr>
          <w:p w14:paraId="5DB04A6A">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含排插、电工胶布、线盒、卡扣、射钉、等材料施工辅材。</w:t>
            </w:r>
          </w:p>
        </w:tc>
        <w:tc>
          <w:tcPr>
            <w:tcW w:w="371" w:type="pct"/>
            <w:shd w:val="clear" w:color="auto" w:fill="auto"/>
            <w:vAlign w:val="center"/>
          </w:tcPr>
          <w:p w14:paraId="4F23A58A">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w:t>
            </w:r>
          </w:p>
        </w:tc>
        <w:tc>
          <w:tcPr>
            <w:tcW w:w="440" w:type="pct"/>
            <w:shd w:val="clear" w:color="auto" w:fill="auto"/>
            <w:vAlign w:val="center"/>
          </w:tcPr>
          <w:p w14:paraId="25928197">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600</w:t>
            </w:r>
          </w:p>
        </w:tc>
      </w:tr>
      <w:tr w14:paraId="0824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7" w:type="pct"/>
            <w:shd w:val="clear" w:color="auto" w:fill="auto"/>
            <w:vAlign w:val="center"/>
          </w:tcPr>
          <w:p w14:paraId="5AA14883">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w:t>
            </w:r>
          </w:p>
        </w:tc>
        <w:tc>
          <w:tcPr>
            <w:tcW w:w="879" w:type="pct"/>
            <w:vAlign w:val="center"/>
          </w:tcPr>
          <w:p w14:paraId="4DED5423">
            <w:pPr>
              <w:widowControl/>
              <w:jc w:val="center"/>
              <w:rPr>
                <w:rFonts w:hint="eastAsia" w:ascii="仿宋" w:hAnsi="仿宋" w:eastAsia="仿宋" w:cs="仿宋"/>
                <w:color w:val="000000" w:themeColor="text1"/>
                <w:kern w:val="0"/>
                <w:sz w:val="24"/>
                <w:szCs w:val="24"/>
                <w:lang w:eastAsia="zh-Hans"/>
                <w14:textFill>
                  <w14:solidFill>
                    <w14:schemeClr w14:val="tx1"/>
                  </w14:solidFill>
                </w14:textFill>
              </w:rPr>
            </w:pPr>
            <w:r>
              <w:rPr>
                <w:rFonts w:hint="eastAsia" w:ascii="仿宋" w:hAnsi="仿宋" w:eastAsia="仿宋" w:cs="仿宋"/>
                <w:color w:val="000000" w:themeColor="text1"/>
                <w:kern w:val="0"/>
                <w:sz w:val="24"/>
                <w:szCs w:val="24"/>
                <w:lang w:eastAsia="zh-Hans"/>
                <w14:textFill>
                  <w14:solidFill>
                    <w14:schemeClr w14:val="tx1"/>
                  </w14:solidFill>
                </w14:textFill>
              </w:rPr>
              <w:t>设备安装调试</w:t>
            </w:r>
          </w:p>
        </w:tc>
        <w:tc>
          <w:tcPr>
            <w:tcW w:w="2964" w:type="pct"/>
            <w:shd w:val="clear" w:color="auto" w:fill="auto"/>
            <w:vAlign w:val="center"/>
          </w:tcPr>
          <w:p w14:paraId="3AE6E6F4">
            <w:pPr>
              <w:pStyle w:val="1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1.系统所设备安装、调试及使用培训。</w:t>
            </w:r>
          </w:p>
          <w:p w14:paraId="3A0F9A72">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2.UPS电源设备安装、调试及使用培训。</w:t>
            </w:r>
          </w:p>
        </w:tc>
        <w:tc>
          <w:tcPr>
            <w:tcW w:w="371" w:type="pct"/>
            <w:shd w:val="clear" w:color="auto" w:fill="auto"/>
            <w:vAlign w:val="center"/>
          </w:tcPr>
          <w:p w14:paraId="03A4C948">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w:t>
            </w:r>
          </w:p>
        </w:tc>
        <w:tc>
          <w:tcPr>
            <w:tcW w:w="440" w:type="pct"/>
            <w:shd w:val="clear" w:color="auto" w:fill="auto"/>
            <w:vAlign w:val="center"/>
          </w:tcPr>
          <w:p w14:paraId="63CA75AB">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600</w:t>
            </w:r>
          </w:p>
        </w:tc>
      </w:tr>
    </w:tbl>
    <w:p w14:paraId="2E926A4E">
      <w:pPr>
        <w:rPr>
          <w:rFonts w:hint="eastAsia" w:ascii="宋体" w:hAnsi="宋体" w:eastAsia="宋体"/>
          <w:color w:val="000000" w:themeColor="text1"/>
          <w14:textFill>
            <w14:solidFill>
              <w14:schemeClr w14:val="tx1"/>
            </w14:solidFill>
          </w14:textFill>
        </w:rPr>
      </w:pPr>
    </w:p>
    <w:p w14:paraId="530D8F6B">
      <w:pPr>
        <w:ind w:left="440"/>
        <w:outlineLvl w:val="9"/>
        <w:rPr>
          <w:rFonts w:hint="eastAsia" w:ascii="仿宋" w:hAnsi="仿宋" w:eastAsia="仿宋" w:cs="仿宋"/>
          <w:b/>
          <w:bCs/>
          <w:color w:val="000000" w:themeColor="text1"/>
          <w:sz w:val="28"/>
          <w:szCs w:val="28"/>
          <w14:textFill>
            <w14:solidFill>
              <w14:schemeClr w14:val="tx1"/>
            </w14:solidFill>
          </w14:textFill>
        </w:rPr>
      </w:pPr>
      <w:bookmarkStart w:id="0" w:name="_Toc194875763"/>
      <w:r>
        <w:rPr>
          <w:rFonts w:hint="eastAsia" w:ascii="仿宋" w:hAnsi="仿宋" w:eastAsia="仿宋" w:cs="仿宋"/>
          <w:b/>
          <w:bCs/>
          <w:color w:val="000000" w:themeColor="text1"/>
          <w:sz w:val="28"/>
          <w:szCs w:val="28"/>
          <w14:textFill>
            <w14:solidFill>
              <w14:schemeClr w14:val="tx1"/>
            </w14:solidFill>
          </w14:textFill>
        </w:rPr>
        <w:t>（三）图书借阅系统</w:t>
      </w:r>
      <w:bookmarkEnd w:id="0"/>
    </w:p>
    <w:tbl>
      <w:tblPr>
        <w:tblStyle w:val="7"/>
        <w:tblW w:w="5000" w:type="pct"/>
        <w:jc w:val="center"/>
        <w:tblLayout w:type="autofit"/>
        <w:tblCellMar>
          <w:top w:w="0" w:type="dxa"/>
          <w:left w:w="108" w:type="dxa"/>
          <w:bottom w:w="0" w:type="dxa"/>
          <w:right w:w="108" w:type="dxa"/>
        </w:tblCellMar>
      </w:tblPr>
      <w:tblGrid>
        <w:gridCol w:w="490"/>
        <w:gridCol w:w="1170"/>
        <w:gridCol w:w="6996"/>
        <w:gridCol w:w="490"/>
        <w:gridCol w:w="816"/>
      </w:tblGrid>
      <w:tr w14:paraId="7A288657">
        <w:tblPrEx>
          <w:tblCellMar>
            <w:top w:w="0" w:type="dxa"/>
            <w:left w:w="108" w:type="dxa"/>
            <w:bottom w:w="0" w:type="dxa"/>
            <w:right w:w="108" w:type="dxa"/>
          </w:tblCellMar>
        </w:tblPrEx>
        <w:trPr>
          <w:trHeight w:val="60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0697">
            <w:pPr>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587" w:type="pct"/>
            <w:tcBorders>
              <w:top w:val="single" w:color="000000" w:sz="4" w:space="0"/>
              <w:left w:val="single" w:color="000000" w:sz="4" w:space="0"/>
              <w:bottom w:val="single" w:color="000000" w:sz="4" w:space="0"/>
              <w:right w:val="single" w:color="000000" w:sz="4" w:space="0"/>
            </w:tcBorders>
            <w:vAlign w:val="center"/>
          </w:tcPr>
          <w:p w14:paraId="7F4536B4">
            <w:pPr>
              <w:jc w:val="center"/>
              <w:textAlignment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名称</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B2C5">
            <w:pPr>
              <w:jc w:val="left"/>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技术规格及要求</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F540">
            <w:pPr>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单位</w:t>
            </w:r>
          </w:p>
        </w:tc>
        <w:tc>
          <w:tcPr>
            <w:tcW w:w="409" w:type="pct"/>
            <w:tcBorders>
              <w:top w:val="single" w:color="000000" w:sz="4" w:space="0"/>
              <w:left w:val="single" w:color="000000" w:sz="4" w:space="0"/>
              <w:bottom w:val="single" w:color="000000" w:sz="4" w:space="0"/>
              <w:right w:val="single" w:color="000000" w:sz="4" w:space="0"/>
            </w:tcBorders>
            <w:vAlign w:val="center"/>
          </w:tcPr>
          <w:p w14:paraId="723E6F3D">
            <w:pPr>
              <w:jc w:val="center"/>
              <w:textAlignment w:val="center"/>
              <w:rPr>
                <w:rFonts w:hint="eastAsia" w:ascii="仿宋" w:hAnsi="仿宋" w:eastAsia="仿宋" w:cs="仿宋"/>
                <w:b/>
                <w:bCs/>
                <w:color w:val="000000" w:themeColor="text1"/>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数量</w:t>
            </w:r>
          </w:p>
        </w:tc>
      </w:tr>
      <w:tr w14:paraId="39DF7EFA">
        <w:tblPrEx>
          <w:tblCellMar>
            <w:top w:w="0" w:type="dxa"/>
            <w:left w:w="108" w:type="dxa"/>
            <w:bottom w:w="0" w:type="dxa"/>
            <w:right w:w="108" w:type="dxa"/>
          </w:tblCellMar>
        </w:tblPrEx>
        <w:trPr>
          <w:trHeight w:val="140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BC73">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w:t>
            </w:r>
          </w:p>
        </w:tc>
        <w:tc>
          <w:tcPr>
            <w:tcW w:w="587" w:type="pct"/>
            <w:tcBorders>
              <w:top w:val="single" w:color="000000" w:sz="4" w:space="0"/>
              <w:left w:val="single" w:color="000000" w:sz="4" w:space="0"/>
              <w:bottom w:val="single" w:color="000000" w:sz="4" w:space="0"/>
              <w:right w:val="single" w:color="000000" w:sz="4" w:space="0"/>
            </w:tcBorders>
            <w:vAlign w:val="center"/>
          </w:tcPr>
          <w:p w14:paraId="3941839E">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云图管理平台</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3691">
            <w:pPr>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技术参数 1、系统架构：要求基于Web的B/S系统架构；采用Windows IIS发布系统和SQL Server数据库(可支持MySql，Oracle等关系型数据库)，管理系统功能全部基于浏览器操作，无须安装客户端，方便易用；</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2、数据安全：系统要求采用SSL传输加密、用户登录验证采用SSL+RSA非对称加密、数据库中用户隐私数据采用密文存储，保证数据安全；</w:t>
            </w:r>
            <w:r>
              <w:rPr>
                <w:rFonts w:hint="eastAsia" w:ascii="仿宋" w:hAnsi="仿宋" w:eastAsia="仿宋" w:cs="仿宋"/>
                <w:b/>
                <w:bCs/>
                <w:color w:val="000000" w:themeColor="text1"/>
                <w:sz w:val="24"/>
                <w:szCs w:val="24"/>
                <w:lang w:eastAsia="zh-CN" w:bidi="ar"/>
                <w14:textFill>
                  <w14:solidFill>
                    <w14:schemeClr w14:val="tx1"/>
                  </w14:solidFill>
                </w14:textFill>
              </w:rPr>
              <w:t>（供应商应在响应文件中提供相关功能截图佐证）</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3、多级管理：管理平台要求采用多级分层管理，以组织/单位为顶层，以部门为最小管理单元，形成可实现多种应用需求的系统集成平台；</w:t>
            </w:r>
            <w:r>
              <w:rPr>
                <w:rFonts w:hint="eastAsia" w:ascii="仿宋" w:hAnsi="仿宋" w:eastAsia="仿宋" w:cs="仿宋"/>
                <w:b/>
                <w:bCs/>
                <w:color w:val="000000" w:themeColor="text1"/>
                <w:sz w:val="24"/>
                <w:szCs w:val="24"/>
                <w:lang w:bidi="ar"/>
                <w14:textFill>
                  <w14:solidFill>
                    <w14:schemeClr w14:val="tx1"/>
                  </w14:solidFill>
                </w14:textFill>
              </w:rPr>
              <w:t>（</w:t>
            </w:r>
            <w:r>
              <w:rPr>
                <w:rFonts w:hint="eastAsia" w:ascii="仿宋" w:hAnsi="仿宋" w:eastAsia="仿宋" w:cs="仿宋"/>
                <w:b/>
                <w:bCs/>
                <w:color w:val="000000" w:themeColor="text1"/>
                <w:sz w:val="24"/>
                <w:szCs w:val="24"/>
                <w:lang w:eastAsia="zh-CN"/>
                <w14:textFill>
                  <w14:solidFill>
                    <w14:schemeClr w14:val="tx1"/>
                  </w14:solidFill>
                </w14:textFill>
              </w:rPr>
              <w:t>供应商应在响应文件中</w:t>
            </w:r>
            <w:r>
              <w:rPr>
                <w:rFonts w:hint="eastAsia" w:ascii="仿宋" w:hAnsi="仿宋" w:eastAsia="仿宋" w:cs="仿宋"/>
                <w:b/>
                <w:bCs/>
                <w:color w:val="000000" w:themeColor="text1"/>
                <w:sz w:val="24"/>
                <w:szCs w:val="24"/>
                <w:lang w:bidi="ar"/>
                <w14:textFill>
                  <w14:solidFill>
                    <w14:schemeClr w14:val="tx1"/>
                  </w14:solidFill>
                </w14:textFill>
              </w:rPr>
              <w:t>提供相关功能截图佐证）</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4、接口扩展：要求对外提供标准的REST接口，方便第三方系统对接，同时可无缝对接校园一卡通，无须二次办证；</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5、人脸识别管理：要求不依托第三方平台，自建人脸数据库，具有局域网环境下实现人脸识别功能；须支持管理员单独或批量上传、读者自主上传、设备注册等获取人脸数据途径；</w:t>
            </w:r>
            <w:r>
              <w:rPr>
                <w:rFonts w:hint="eastAsia" w:ascii="仿宋" w:hAnsi="仿宋" w:eastAsia="仿宋" w:cs="仿宋"/>
                <w:b/>
                <w:bCs/>
                <w:color w:val="000000" w:themeColor="text1"/>
                <w:sz w:val="24"/>
                <w:szCs w:val="24"/>
                <w:lang w:eastAsia="zh-CN" w:bidi="ar"/>
                <w14:textFill>
                  <w14:solidFill>
                    <w14:schemeClr w14:val="tx1"/>
                  </w14:solidFill>
                </w14:textFill>
              </w:rPr>
              <w:t>（供应商应在响应文件中提供相关功能截图佐证）</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6、流通管理系统：要求包括图书查询、剔旧、借还、预借、催还、超期提醒、罚款、书标打印、馆藏地迁移、图书转借、读者荐购以及图书层架标管理功能；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7、高效采编：要求可以通过手动或扫描输入ISBN码；须提供标准模版批量导入数据，同步Marc数据，实现自动编目功能；</w:t>
            </w:r>
            <w:r>
              <w:rPr>
                <w:rFonts w:hint="eastAsia" w:ascii="仿宋" w:hAnsi="仿宋" w:eastAsia="仿宋" w:cs="仿宋"/>
                <w:b/>
                <w:bCs/>
                <w:color w:val="000000" w:themeColor="text1"/>
                <w:sz w:val="24"/>
                <w:szCs w:val="24"/>
                <w:lang w:eastAsia="zh-CN" w:bidi="ar"/>
                <w14:textFill>
                  <w14:solidFill>
                    <w14:schemeClr w14:val="tx1"/>
                  </w14:solidFill>
                </w14:textFill>
              </w:rPr>
              <w:t>（供应商应在响应文件中提供相关功能截图佐证）</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8、精准个推：基于User-Based Collaborative Filtering的改进算法，为读者精准推送书刊信息，有效提高读者选书效率，提升阅读兴趣；</w:t>
            </w:r>
            <w:r>
              <w:rPr>
                <w:rFonts w:hint="eastAsia" w:ascii="仿宋" w:hAnsi="仿宋" w:eastAsia="仿宋" w:cs="仿宋"/>
                <w:b/>
                <w:bCs/>
                <w:color w:val="000000" w:themeColor="text1"/>
                <w:sz w:val="24"/>
                <w:szCs w:val="24"/>
                <w:lang w:eastAsia="zh-CN" w:bidi="ar"/>
                <w14:textFill>
                  <w14:solidFill>
                    <w14:schemeClr w14:val="tx1"/>
                  </w14:solidFill>
                </w14:textFill>
              </w:rPr>
              <w:t>（供应商应在响应文件中提供相关功能截图佐证）</w:t>
            </w:r>
            <w:r>
              <w:rPr>
                <w:rFonts w:hint="eastAsia" w:ascii="仿宋" w:hAnsi="仿宋" w:eastAsia="仿宋" w:cs="仿宋"/>
                <w:b/>
                <w:bCs/>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9、图书批量管理：要求具有按批次查找书刊，并对整个批次图书进行批量删除操作，轻松处理异常入库书刊功能；须具有续借和批量借阅、归还书刊功能，按需求可查看书刊流通记录，并可导出未归还书刊、借阅记录等数据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10、书刊查询：要求具有按书刊状态（外借、在库、丢失、污损、已剔旧、异常借书、已移除、已预借）统计借阅记录，方便追踪书刊动向功能，也可对书刊信息进行变更，包括变更书刊条码、标签、价格、名称、馆藏地、状态等信息；</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11、书刊预借：要求具有预借功能，可查看预借详情,直接将预借人员修改为借阅人员并批量导出表格的功能；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12、批量剃旧：要求具有批量图书剃旧功能，可在平台使用模板导入、点检设备上传数据和手动勾选图书进行剔旧；</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13、书刊管理：要求具有在线盘点书刊、转移书刊馆藏地、对书刊进行剔旧等功能，对已剔旧书刊将禁止流通；</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14、催还、罚款：要求具有自动筛选即将到期未归还书刊，并将催还信息推送给读者；须对超期书刊自动计算罚款金额，并支持读者扫码支付罚金；</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15、微信卡包：要求具有管理员设置微信卡包配置功能，包括：商户名称、卡券名、logo等，读者可申领电子借阅证到微信卡包中，通过微信卡包中的二维码直接在设备上扫描登录；</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16、书标打印：要求具有通过ISBN、正题名、条形码、馆藏地、批次等条件查询打印的书签功能，支持自定义书标规格；须具有按条码升降序排列打印、单选或批量打印书标功能；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17、图书转借管理：要求具有通过组织类型、时间等查询转借信息，管理员可手动确认转借和取消订单的功能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18、图书退订：要求具有记录图书退订信息功能，根据组织、日期、批次号、退订人、ISBN、正题名、作者、出版社查询信息，可新增、删除、导出数据；</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19、数据统计及导出：要求具有书刊查询列表导出、书刊流通记录导出、书刊借阅排行导出、书刊超期列表导出、超期催还记录导出、罚款管理记录导出、退款审核记录导出、交易流水记录导出、读者信息列表导出、读者借阅排行导出、读者借阅率导出、流通数据排行导出、流通日志表格导出、馆藏流通率导出、借阅利用率导出、图书分类统计及图书荐购数据导出，完善的数据统计及导出Excel文档功能，便于汇总查漏补缺；</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20、数据查看：要求具有查看校验短信数据功能，可按组织、验证码、验证码类型、发送日期和手机号生成记录；具有查看交易流水功能，可按组织、日期、收退款、交易类型、交易渠道、交易状态和读者证号生成记录；</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21、读者管理：要求具有恢复已删除读者功能（针对admin权限用户）；</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22、自助办证记录：要求具有记录通过设备和微信办理证件的读者信息，可通过组织、日期、姓名、借阅证号、读者标签和设备码等查办证信息；</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23、层架管理：要求具有新增上架功能，在管理平台上即可上架图书；</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24、信息发布：管理员可以选择不同馆藏地编辑本馆概况及读者须知内容，可新增新闻、通知、活动发布馆藏地（须支持多选），可添加友情链接，插入音频、图片和可设计字体等功能；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25、书刊推荐，要求具有输入ISBN或书名选择馆藏地进行推荐的功能；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26、书刊排行：要求可统计书刊从书架上取出的次数，按组织单位和馆藏地以周、月、年等周期生成排行榜；</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27、售书管理：要求具有图书上架，查看在售商品，查看已售商品的功能；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28、商品上架：要求具有按ISBN、正题名、主题词、责任者查询图书，设置售书价格、选择组织上架功能；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29、商品查询：要求具有按组织单位、ISBN、正题名查询在售图书详情功能；可按组织单位、时间查询已售图书的订单详情；</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30、支付管理：要求具有通过微信、支付宝等方式缴交押金、欠费功能；可通过微信、支付宝购买已借阅的图书，也可在设备上直接购买图书，多种选择；</w:t>
            </w:r>
            <w:r>
              <w:rPr>
                <w:rFonts w:hint="eastAsia" w:ascii="仿宋" w:hAnsi="仿宋" w:eastAsia="仿宋" w:cs="仿宋"/>
                <w:b/>
                <w:bCs/>
                <w:color w:val="000000" w:themeColor="text1"/>
                <w:sz w:val="24"/>
                <w:szCs w:val="24"/>
                <w:lang w:eastAsia="zh-CN" w:bidi="ar"/>
                <w14:textFill>
                  <w14:solidFill>
                    <w14:schemeClr w14:val="tx1"/>
                  </w14:solidFill>
                </w14:textFill>
              </w:rPr>
              <w:t>（供应商应在响应文件中提供相关功能截图佐证）</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31、系统支持：为满足安全保障，确保自主可控，须支持国产化运行系统（如麒麟、鸿蒙等）</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40FB">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套</w:t>
            </w:r>
          </w:p>
        </w:tc>
        <w:tc>
          <w:tcPr>
            <w:tcW w:w="409" w:type="pct"/>
            <w:tcBorders>
              <w:top w:val="single" w:color="000000" w:sz="4" w:space="0"/>
              <w:left w:val="single" w:color="000000" w:sz="4" w:space="0"/>
              <w:bottom w:val="single" w:color="000000" w:sz="4" w:space="0"/>
              <w:right w:val="single" w:color="000000" w:sz="4" w:space="0"/>
            </w:tcBorders>
            <w:vAlign w:val="center"/>
          </w:tcPr>
          <w:p w14:paraId="3E5B8AAA">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w:t>
            </w:r>
          </w:p>
        </w:tc>
      </w:tr>
      <w:tr w14:paraId="6DD63D70">
        <w:tblPrEx>
          <w:tblCellMar>
            <w:top w:w="0" w:type="dxa"/>
            <w:left w:w="108" w:type="dxa"/>
            <w:bottom w:w="0" w:type="dxa"/>
            <w:right w:w="108" w:type="dxa"/>
          </w:tblCellMar>
        </w:tblPrEx>
        <w:trPr>
          <w:trHeight w:val="508"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1695">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w:t>
            </w:r>
          </w:p>
        </w:tc>
        <w:tc>
          <w:tcPr>
            <w:tcW w:w="587" w:type="pct"/>
            <w:tcBorders>
              <w:top w:val="single" w:color="000000" w:sz="4" w:space="0"/>
              <w:left w:val="single" w:color="000000" w:sz="4" w:space="0"/>
              <w:bottom w:val="single" w:color="000000" w:sz="4" w:space="0"/>
              <w:right w:val="single" w:color="000000" w:sz="4" w:space="0"/>
            </w:tcBorders>
            <w:vAlign w:val="center"/>
          </w:tcPr>
          <w:p w14:paraId="70DF8F19">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馆情分析系统</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B2AC">
            <w:pPr>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 xml:space="preserve">1.显示模式：系统要求具有全屏/窗口一键切换模式功能；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2.系统设置：系统要求允许设置、变更服务器地址，可显示全部或隐藏部分读者信息以保护隐私；具有同时显示多个馆藏地数据以及安全门数据统计的功能；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3.人数统计：系统要求具有对当前在馆人数、今日进馆人数和累计借阅次数进行统计的功能；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4.流通数据：系统要求具有显示今日图书外借、归还、预借的数据展示和状态功能，并分别以饼状图的形式显示；</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5.借阅排行：系统要求具有个人借阅排行、部门借阅排行和书刊借阅排行功能，并分别以柱状图的形式显示；</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6.图书推荐：系统要求具有显示指定馆藏地的热门、新书目录，推荐读者借阅的功能；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7.新书上架通知：系统要求具有显示指定馆藏地近期入库书刊的功能；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8.热门图书排行：系统要求具有根据图书的分类情况依次显示借阅次数排行显示的功能；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9.优秀读者榜：系统要求具有根据读者的借阅图书量进行读者排行的功能；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10.借阅趋势：系统要求具有统计每天借阅量的统计功能，从而展示本月借阅趋势；</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11.数据统计：系统要求具有显示当日书刊借阅统计、当日图书流通统计、热门图书排行统计、图书分类数量统计、月借书量统计、图书借阅趋势统计、按月分类借阅偏好统计、图书状态统计等功能；</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64B2">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套</w:t>
            </w:r>
          </w:p>
        </w:tc>
        <w:tc>
          <w:tcPr>
            <w:tcW w:w="409" w:type="pct"/>
            <w:tcBorders>
              <w:top w:val="single" w:color="000000" w:sz="4" w:space="0"/>
              <w:left w:val="single" w:color="000000" w:sz="4" w:space="0"/>
              <w:bottom w:val="single" w:color="000000" w:sz="4" w:space="0"/>
              <w:right w:val="single" w:color="000000" w:sz="4" w:space="0"/>
            </w:tcBorders>
            <w:vAlign w:val="center"/>
          </w:tcPr>
          <w:p w14:paraId="264AF661">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w:t>
            </w:r>
          </w:p>
        </w:tc>
      </w:tr>
      <w:tr w14:paraId="1D9A670F">
        <w:tblPrEx>
          <w:tblCellMar>
            <w:top w:w="0" w:type="dxa"/>
            <w:left w:w="108" w:type="dxa"/>
            <w:bottom w:w="0" w:type="dxa"/>
            <w:right w:w="108" w:type="dxa"/>
          </w:tblCellMar>
        </w:tblPrEx>
        <w:trPr>
          <w:trHeight w:val="366"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DE8F">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3</w:t>
            </w:r>
          </w:p>
        </w:tc>
        <w:tc>
          <w:tcPr>
            <w:tcW w:w="587" w:type="pct"/>
            <w:tcBorders>
              <w:top w:val="single" w:color="000000" w:sz="4" w:space="0"/>
              <w:left w:val="single" w:color="000000" w:sz="4" w:space="0"/>
              <w:bottom w:val="single" w:color="000000" w:sz="4" w:space="0"/>
              <w:right w:val="single" w:color="000000" w:sz="4" w:space="0"/>
            </w:tcBorders>
            <w:vAlign w:val="center"/>
          </w:tcPr>
          <w:p w14:paraId="4998CC94">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RFID图书芯片</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F4F9">
            <w:pPr>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图书专用RFID标签是一种带有天线、存储器与控制系统的无源低电集成电路产品，可在其中的存储晶片中多次写入及读取图书、媒体资料的基本资料，用于图书和多媒体光盘资料的标签辨识，可以粘贴在一般图书上，用于图书和光盘资料的辨识；</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2、工作频率：13.56MHz；</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3、支持协议：ISO15693和ISO18000-3标准；</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4、产品规格：50mm*50mm；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5、天线规格：45mm*45mm；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6、内存容量：≥1024 bits；</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7、有效使用寿命：≥10 年；</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8、有效使用次数：≥10万次；</w:t>
            </w:r>
            <w:r>
              <w:rPr>
                <w:rFonts w:hint="eastAsia" w:ascii="仿宋" w:hAnsi="仿宋" w:eastAsia="仿宋" w:cs="仿宋"/>
                <w:b/>
                <w:bCs/>
                <w:color w:val="000000" w:themeColor="text1"/>
                <w:sz w:val="24"/>
                <w:szCs w:val="24"/>
                <w:lang w:bidi="ar"/>
                <w14:textFill>
                  <w14:solidFill>
                    <w14:schemeClr w14:val="tx1"/>
                  </w14:solidFill>
                </w14:textFill>
              </w:rPr>
              <w:t>（须提供带有CMA或CNAS标志的第三方检测报告复印件佐证）</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9、标签为无源标签，无需电池；</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10、标签中有存储器，存储在其中的资料可重复读、写；</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11、标签可以非接触式的读取和写入，加快资源流通的处理手续；</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12、标签具有一定的抗冲突性，能保证多个标签的同时可靠识别；</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13、标签具有较高的安全性，有不可改写的唯一序列号（UID）供识别和加密，防止存储在其中的信息资料被随意读取或改写；</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14、用户可自定义数据格式和内容，具有良好的数据扩展性；</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15、标签的天线为铝或铜质天线，采用蚀刻法工艺制造；</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16、标签采用EAS 或AFI位作为防盗的安全标志方法；</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17、标签固有频率误差率小于或等于±300K Hz范围；</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18、读取标签单一数据块数据，记录从查询被测标签开始到读取标签单一数据块所需的时间≤0.1s；</w:t>
            </w:r>
            <w:r>
              <w:rPr>
                <w:rFonts w:hint="eastAsia" w:ascii="仿宋" w:hAnsi="仿宋" w:eastAsia="仿宋" w:cs="仿宋"/>
                <w:b/>
                <w:bCs/>
                <w:color w:val="000000" w:themeColor="text1"/>
                <w:sz w:val="24"/>
                <w:szCs w:val="24"/>
                <w:lang w:bidi="ar"/>
                <w14:textFill>
                  <w14:solidFill>
                    <w14:schemeClr w14:val="tx1"/>
                  </w14:solidFill>
                </w14:textFill>
              </w:rPr>
              <w:t>（须提供带有CMA或CNAS标志的第三方检测报告复印件佐证）</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19、标签自带单面粘性，须采用中性粘胶对图书及其它介质黏贴表面无损害，保证在标签质保期内（10年）不开胶脱落；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20、标签上可印制由图书馆提供的LOGO图案；</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21、为保障投标产品在温度(-20±2)℃—(80±2）℃范围内能稳定正常使用，需提供GB/T2423.1-2008标准的检测报告复印件加盖</w:t>
            </w:r>
            <w:r>
              <w:rPr>
                <w:rFonts w:hint="eastAsia" w:ascii="仿宋" w:hAnsi="仿宋" w:eastAsia="仿宋" w:cs="仿宋"/>
                <w:color w:val="000000" w:themeColor="text1"/>
                <w:sz w:val="24"/>
                <w:szCs w:val="24"/>
                <w:lang w:eastAsia="zh-CN" w:bidi="ar"/>
                <w14:textFill>
                  <w14:solidFill>
                    <w14:schemeClr w14:val="tx1"/>
                  </w14:solidFill>
                </w14:textFill>
              </w:rPr>
              <w:t>供应商</w:t>
            </w:r>
            <w:r>
              <w:rPr>
                <w:rFonts w:hint="eastAsia" w:ascii="仿宋" w:hAnsi="仿宋" w:eastAsia="仿宋" w:cs="仿宋"/>
                <w:color w:val="000000" w:themeColor="text1"/>
                <w:sz w:val="24"/>
                <w:szCs w:val="24"/>
                <w:lang w:bidi="ar"/>
                <w14:textFill>
                  <w14:solidFill>
                    <w14:schemeClr w14:val="tx1"/>
                  </w14:solidFill>
                </w14:textFill>
              </w:rPr>
              <w:t>公章。</w:t>
            </w:r>
            <w:r>
              <w:rPr>
                <w:rFonts w:hint="eastAsia" w:ascii="仿宋" w:hAnsi="仿宋" w:eastAsia="仿宋" w:cs="仿宋"/>
                <w:b/>
                <w:bCs/>
                <w:color w:val="000000" w:themeColor="text1"/>
                <w:sz w:val="24"/>
                <w:szCs w:val="24"/>
                <w:lang w:bidi="ar"/>
                <w14:textFill>
                  <w14:solidFill>
                    <w14:schemeClr w14:val="tx1"/>
                  </w14:solidFill>
                </w14:textFill>
              </w:rPr>
              <w:t>（须提供带有CMA标志的第三方检测报告复印件并加盖</w:t>
            </w:r>
            <w:r>
              <w:rPr>
                <w:rFonts w:hint="eastAsia" w:ascii="仿宋" w:hAnsi="仿宋" w:eastAsia="仿宋" w:cs="仿宋"/>
                <w:b/>
                <w:bCs/>
                <w:color w:val="000000" w:themeColor="text1"/>
                <w:sz w:val="24"/>
                <w:szCs w:val="24"/>
                <w:lang w:eastAsia="zh-CN" w:bidi="ar"/>
                <w14:textFill>
                  <w14:solidFill>
                    <w14:schemeClr w14:val="tx1"/>
                  </w14:solidFill>
                </w14:textFill>
              </w:rPr>
              <w:t>供应商</w:t>
            </w:r>
            <w:r>
              <w:rPr>
                <w:rFonts w:hint="eastAsia" w:ascii="仿宋" w:hAnsi="仿宋" w:eastAsia="仿宋" w:cs="仿宋"/>
                <w:b/>
                <w:bCs/>
                <w:color w:val="000000" w:themeColor="text1"/>
                <w:sz w:val="24"/>
                <w:szCs w:val="24"/>
                <w:lang w:bidi="ar"/>
                <w14:textFill>
                  <w14:solidFill>
                    <w14:schemeClr w14:val="tx1"/>
                  </w14:solidFill>
                </w14:textFill>
              </w:rPr>
              <w:t>公章）</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AAA2">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枚</w:t>
            </w:r>
          </w:p>
        </w:tc>
        <w:tc>
          <w:tcPr>
            <w:tcW w:w="409" w:type="pct"/>
            <w:tcBorders>
              <w:top w:val="single" w:color="000000" w:sz="4" w:space="0"/>
              <w:left w:val="single" w:color="000000" w:sz="4" w:space="0"/>
              <w:bottom w:val="single" w:color="000000" w:sz="4" w:space="0"/>
              <w:right w:val="single" w:color="000000" w:sz="4" w:space="0"/>
            </w:tcBorders>
            <w:vAlign w:val="center"/>
          </w:tcPr>
          <w:p w14:paraId="7D4EC8D6">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45000</w:t>
            </w:r>
          </w:p>
        </w:tc>
      </w:tr>
      <w:tr w14:paraId="5336FB02">
        <w:tblPrEx>
          <w:tblCellMar>
            <w:top w:w="0" w:type="dxa"/>
            <w:left w:w="108" w:type="dxa"/>
            <w:bottom w:w="0" w:type="dxa"/>
            <w:right w:w="108" w:type="dxa"/>
          </w:tblCellMar>
        </w:tblPrEx>
        <w:trPr>
          <w:trHeight w:val="3749"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771A">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4</w:t>
            </w:r>
          </w:p>
        </w:tc>
        <w:tc>
          <w:tcPr>
            <w:tcW w:w="587" w:type="pct"/>
            <w:tcBorders>
              <w:top w:val="single" w:color="000000" w:sz="4" w:space="0"/>
              <w:left w:val="single" w:color="000000" w:sz="4" w:space="0"/>
              <w:bottom w:val="single" w:color="000000" w:sz="4" w:space="0"/>
              <w:right w:val="single" w:color="000000" w:sz="4" w:space="0"/>
            </w:tcBorders>
            <w:vAlign w:val="center"/>
          </w:tcPr>
          <w:p w14:paraId="7744CE6A">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RFID层架标签</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4038">
            <w:pPr>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1、RFID层架标签能够方便的贴在书架上，包括各种材质的书架，如金属或者木制书架；</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2、工作频率：13.56MHz；</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3、支持协议：ISO15693；</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4、产品尺寸: 85mm*22mm*7mm；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5、芯片：I CODE SLIX；</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6、内存容量：≥1024Bits；</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7、有效使用寿命：≥10 年；</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8、有效使用次数：≥10万次；</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9、工作模式：可读写；</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10、材料：ABS；</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11、读写距离：2-10cm(取决不同环境和读写器)；</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12、读写时间：1-2ms；</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13、标签为无源标签，无需电池；</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14、标签中有存储器，存储在其中的资料可重复读、写；</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15、标签可以非接触式的读取和写入；</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16、标签具有防电磁屏蔽，适用于图书馆的通用书架，表面可打印相关信息；</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17、标签具有较高的安全性，有不可改写的唯一序列号（UID）供识别和加密，防止存储在其中的信息资料被随意读取或改写；</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18、用户可自定义数据格式和内容，具有良好的数据扩展性；</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19、标签里面储存的数据保存≥10年；</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20、支持盘点、顺架、倒架、上架功能。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21、标签固有频率误差率小于或等于±300K Hz范围；</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22、标签自带单面背胶，须采用3M粘力较强胶水，胶水对书架表面无损害，保证在保质期内（10年）不开胶脱落；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23、标签上可印制由图书馆提供的LOGO图案；</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7D5B">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个</w:t>
            </w:r>
          </w:p>
        </w:tc>
        <w:tc>
          <w:tcPr>
            <w:tcW w:w="409" w:type="pct"/>
            <w:tcBorders>
              <w:top w:val="single" w:color="000000" w:sz="4" w:space="0"/>
              <w:left w:val="single" w:color="000000" w:sz="4" w:space="0"/>
              <w:bottom w:val="single" w:color="000000" w:sz="4" w:space="0"/>
              <w:right w:val="single" w:color="000000" w:sz="4" w:space="0"/>
            </w:tcBorders>
            <w:vAlign w:val="center"/>
          </w:tcPr>
          <w:p w14:paraId="4816042B">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500</w:t>
            </w:r>
          </w:p>
        </w:tc>
      </w:tr>
      <w:tr w14:paraId="4F5139FD">
        <w:tblPrEx>
          <w:tblCellMar>
            <w:top w:w="0" w:type="dxa"/>
            <w:left w:w="108" w:type="dxa"/>
            <w:bottom w:w="0" w:type="dxa"/>
            <w:right w:w="108" w:type="dxa"/>
          </w:tblCellMar>
        </w:tblPrEx>
        <w:trPr>
          <w:trHeight w:val="7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6A8B">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5</w:t>
            </w:r>
          </w:p>
        </w:tc>
        <w:tc>
          <w:tcPr>
            <w:tcW w:w="587" w:type="pct"/>
            <w:tcBorders>
              <w:top w:val="single" w:color="000000" w:sz="4" w:space="0"/>
              <w:left w:val="single" w:color="000000" w:sz="4" w:space="0"/>
              <w:bottom w:val="single" w:color="000000" w:sz="4" w:space="0"/>
              <w:right w:val="single" w:color="000000" w:sz="4" w:space="0"/>
            </w:tcBorders>
            <w:vAlign w:val="center"/>
          </w:tcPr>
          <w:p w14:paraId="60C6D5DE">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标签数据加工+图书数据采集定位</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9A41">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书RFID电子标签粘贴及数据转换加工，对完成标签转换的并上架图书与对应价位的层架标签做数据关联，具体工作：用盘点系统把图书全部采集一次，把层架标对应该层的图书建立关联，实现图书馆的图书上架后第一次的图书采集和定位工作。</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A7F3">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本</w:t>
            </w:r>
          </w:p>
        </w:tc>
        <w:tc>
          <w:tcPr>
            <w:tcW w:w="409" w:type="pct"/>
            <w:tcBorders>
              <w:top w:val="single" w:color="000000" w:sz="4" w:space="0"/>
              <w:left w:val="single" w:color="000000" w:sz="4" w:space="0"/>
              <w:bottom w:val="single" w:color="000000" w:sz="4" w:space="0"/>
              <w:right w:val="single" w:color="000000" w:sz="4" w:space="0"/>
            </w:tcBorders>
            <w:vAlign w:val="center"/>
          </w:tcPr>
          <w:p w14:paraId="53E7E453">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45000</w:t>
            </w:r>
          </w:p>
        </w:tc>
      </w:tr>
      <w:tr w14:paraId="1E3AA14D">
        <w:tblPrEx>
          <w:tblCellMar>
            <w:top w:w="0" w:type="dxa"/>
            <w:left w:w="108" w:type="dxa"/>
            <w:bottom w:w="0" w:type="dxa"/>
            <w:right w:w="108" w:type="dxa"/>
          </w:tblCellMar>
        </w:tblPrEx>
        <w:trPr>
          <w:trHeight w:val="7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8A0E">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6</w:t>
            </w:r>
          </w:p>
        </w:tc>
        <w:tc>
          <w:tcPr>
            <w:tcW w:w="587" w:type="pct"/>
            <w:tcBorders>
              <w:top w:val="single" w:color="000000" w:sz="4" w:space="0"/>
              <w:left w:val="single" w:color="000000" w:sz="4" w:space="0"/>
              <w:bottom w:val="single" w:color="000000" w:sz="4" w:space="0"/>
              <w:right w:val="single" w:color="000000" w:sz="4" w:space="0"/>
            </w:tcBorders>
            <w:vAlign w:val="center"/>
          </w:tcPr>
          <w:p w14:paraId="05E94DA1">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层架标定位上架</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A870">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图书层架标签粘贴及数据转换加工</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D60F">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个</w:t>
            </w:r>
          </w:p>
        </w:tc>
        <w:tc>
          <w:tcPr>
            <w:tcW w:w="409" w:type="pct"/>
            <w:tcBorders>
              <w:top w:val="single" w:color="000000" w:sz="4" w:space="0"/>
              <w:left w:val="single" w:color="000000" w:sz="4" w:space="0"/>
              <w:bottom w:val="single" w:color="000000" w:sz="4" w:space="0"/>
              <w:right w:val="single" w:color="000000" w:sz="4" w:space="0"/>
            </w:tcBorders>
            <w:vAlign w:val="center"/>
          </w:tcPr>
          <w:p w14:paraId="54FEE393">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500</w:t>
            </w:r>
          </w:p>
        </w:tc>
      </w:tr>
      <w:tr w14:paraId="1622D461">
        <w:tblPrEx>
          <w:tblCellMar>
            <w:top w:w="0" w:type="dxa"/>
            <w:left w:w="108" w:type="dxa"/>
            <w:bottom w:w="0" w:type="dxa"/>
            <w:right w:w="108" w:type="dxa"/>
          </w:tblCellMar>
        </w:tblPrEx>
        <w:trPr>
          <w:trHeight w:val="7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D0A0">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7</w:t>
            </w:r>
          </w:p>
        </w:tc>
        <w:tc>
          <w:tcPr>
            <w:tcW w:w="587" w:type="pct"/>
            <w:tcBorders>
              <w:top w:val="single" w:color="000000" w:sz="4" w:space="0"/>
              <w:left w:val="single" w:color="000000" w:sz="4" w:space="0"/>
              <w:bottom w:val="single" w:color="000000" w:sz="4" w:space="0"/>
              <w:right w:val="single" w:color="000000" w:sz="4" w:space="0"/>
            </w:tcBorders>
            <w:vAlign w:val="center"/>
          </w:tcPr>
          <w:p w14:paraId="439D54E5">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自助借还书机</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47CE">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1、自助借还书机通过对粘贴有RFID标签的资料、书籍进行扫描、识别，将人工借还改为自助借还，提高了借阅服务质量。</w:t>
            </w:r>
          </w:p>
          <w:p w14:paraId="0C5273DE">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整机外观尺寸：长≥600mm，宽≥630mm，高≥1504mm</w:t>
            </w:r>
          </w:p>
          <w:p w14:paraId="5233D0CE">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2、主机配置：要求采用21.5英寸屏幕及以上，操作系统：Android 5.1 及以上，支持多点触摸；内存：2G及以上；</w:t>
            </w:r>
          </w:p>
          <w:p w14:paraId="28DE61C7">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3、要求具有LAN有线网口， WiFi 2.4GHz，USB*3和HDMI(out)*1接口；</w:t>
            </w:r>
          </w:p>
          <w:p w14:paraId="7659DB31">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4、材料结构：要求整机采用冷轧钢板材质，铝型材包边设计，表面钢化玻璃圆角处理，符合人体工程学设计；</w:t>
            </w:r>
          </w:p>
          <w:p w14:paraId="5C8163EE">
            <w:pPr>
              <w:jc w:val="left"/>
              <w:textAlignment w:val="center"/>
              <w:rPr>
                <w:rFonts w:hint="eastAsia" w:ascii="仿宋" w:hAnsi="仿宋" w:eastAsia="仿宋" w:cs="仿宋"/>
                <w:b/>
                <w:bCs/>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5、刷卡器：要求具备读者证阅读模块，支持ISO14443A标准、ISO15693标准；</w:t>
            </w:r>
            <w:r>
              <w:rPr>
                <w:rFonts w:hint="eastAsia" w:ascii="仿宋" w:hAnsi="仿宋" w:eastAsia="仿宋" w:cs="仿宋"/>
                <w:b/>
                <w:bCs/>
                <w:color w:val="000000" w:themeColor="text1"/>
                <w:sz w:val="24"/>
                <w:szCs w:val="24"/>
                <w:lang w:bidi="ar"/>
                <w14:textFill>
                  <w14:solidFill>
                    <w14:schemeClr w14:val="tx1"/>
                  </w14:solidFill>
                </w14:textFill>
              </w:rPr>
              <w:t>（须提供带有CMA或CNAS标志的第三方检测报告复印件佐证）</w:t>
            </w:r>
          </w:p>
          <w:p w14:paraId="1EBFC2E8">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6、读写器：要求具有快速防碰撞处理算法，读写距离：16~40cm；（本特性与卡片有关）；工作时自动开启射频，空闲时自动关闭射频；</w:t>
            </w:r>
          </w:p>
          <w:p w14:paraId="3DA513A0">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7、工作频率：13.56MHz；</w:t>
            </w:r>
          </w:p>
          <w:p w14:paraId="00EEB6B3">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8、摄像头：内置摄像头，可在借还书过程进行拍照或录像，供工作人员随时查阅；</w:t>
            </w:r>
          </w:p>
          <w:p w14:paraId="60E38EC6">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9、扫码器：要求设备内置扫码器，支持二维码扫描；</w:t>
            </w:r>
          </w:p>
          <w:p w14:paraId="14E9200B">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10、打印机：要求设备内置打印机，支持80mm热敏纸行点式打印，打印分辨率≥203dpi；</w:t>
            </w:r>
          </w:p>
          <w:p w14:paraId="4E7F0A55">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11、系统安全性：要求支持 TCP/IP 联网协议、SIPⅡ国际标准协议、NCIP 协议等接口与图书馆端数据库进行数据交换，确保系统安全。</w:t>
            </w:r>
          </w:p>
          <w:p w14:paraId="7ABC2B87">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12、设备外观：要求一体化支架设计，支撑牢固，简洁时尚；具备Led灯带，有效提示设备运行状态；</w:t>
            </w:r>
          </w:p>
          <w:p w14:paraId="1FDED347">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13、阅读评测：要求设备具备阅读评测功能，读者可在设备上进行阅读能力测评，获得自己的阅读综合能力值与评语，其中综合能力值包含但不限于：信息检索、信息运用、创新求异、赏析评鉴、解释推理等五个维度，系统会根据评测结果对该读者进行精准的书籍推荐</w:t>
            </w:r>
            <w:r>
              <w:rPr>
                <w:rFonts w:hint="eastAsia" w:ascii="仿宋" w:hAnsi="仿宋" w:eastAsia="仿宋" w:cs="仿宋"/>
                <w:b/>
                <w:bCs/>
                <w:color w:val="000000" w:themeColor="text1"/>
                <w:sz w:val="24"/>
                <w:szCs w:val="24"/>
                <w:lang w:bidi="ar"/>
                <w14:textFill>
                  <w14:solidFill>
                    <w14:schemeClr w14:val="tx1"/>
                  </w14:solidFill>
                </w14:textFill>
              </w:rPr>
              <w:t>（须提供视频演示）</w:t>
            </w:r>
          </w:p>
          <w:p w14:paraId="023F7537">
            <w:pPr>
              <w:jc w:val="left"/>
              <w:textAlignment w:val="center"/>
              <w:rPr>
                <w:rFonts w:hint="eastAsia" w:ascii="仿宋" w:hAnsi="仿宋" w:eastAsia="仿宋" w:cs="仿宋"/>
                <w:b/>
                <w:bCs/>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14、心理测评：要求设备具备心理评测功能，读者可在设备上通过多种心理测试，定位读者心理状态</w:t>
            </w:r>
          </w:p>
          <w:p w14:paraId="31E2D84C">
            <w:pPr>
              <w:jc w:val="left"/>
              <w:textAlignment w:val="center"/>
              <w:rPr>
                <w:rFonts w:hint="eastAsia" w:ascii="仿宋" w:hAnsi="仿宋" w:eastAsia="仿宋" w:cs="仿宋"/>
                <w:b/>
                <w:bCs/>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15、全科知识竞赛：要求设备具备全科知识答题竞赛功能，读者可在设备上进行全科知识答题竞赛，题目包含但不限于语文、数学、地理、历史等多个学科；检验读者知识储备，提升阅读乐趣；</w:t>
            </w:r>
          </w:p>
          <w:p w14:paraId="31CF2D5F">
            <w:pPr>
              <w:jc w:val="left"/>
              <w:textAlignment w:val="center"/>
              <w:rPr>
                <w:rFonts w:hint="eastAsia" w:ascii="仿宋" w:hAnsi="仿宋" w:eastAsia="仿宋" w:cs="仿宋"/>
                <w:b/>
                <w:bCs/>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16、人脸识别：要求不依托第三方平台，自建人脸数据库，可在局域网环境下实现人脸识别功能。支持管理员后台上传读者人脸照片或批量导入读者人脸特征数据；支持读者通过个人中心或小程序自主上传人脸头像；图书馆设备进行人脸注册系统自动提取人脸数据等多种获取人脸数据途径；</w:t>
            </w:r>
          </w:p>
          <w:p w14:paraId="05627B59">
            <w:pPr>
              <w:jc w:val="left"/>
              <w:textAlignment w:val="center"/>
              <w:rPr>
                <w:rFonts w:hint="eastAsia" w:ascii="仿宋" w:hAnsi="仿宋" w:eastAsia="仿宋" w:cs="仿宋"/>
                <w:b/>
                <w:bCs/>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17、标签解析：要求支持28560规范图书标签解析， 支持多种数据自适应压缩算法。</w:t>
            </w:r>
          </w:p>
          <w:p w14:paraId="1CDFA5C5">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18、百科答题：要求设备具备百科答题功能，读者登录设备后可进行百科答题，答题过程中系统提供视听感受，具备不同音效区分正确与错误答案；题目涉及文学、法律、历史、戏剧等领域。检验读者知识储备，提升阅读乐趣</w:t>
            </w:r>
            <w:r>
              <w:rPr>
                <w:rFonts w:hint="eastAsia" w:ascii="仿宋" w:hAnsi="仿宋" w:eastAsia="仿宋" w:cs="仿宋"/>
                <w:b/>
                <w:bCs/>
                <w:color w:val="000000" w:themeColor="text1"/>
                <w:sz w:val="24"/>
                <w:szCs w:val="24"/>
                <w:lang w:bidi="ar"/>
                <w14:textFill>
                  <w14:solidFill>
                    <w14:schemeClr w14:val="tx1"/>
                  </w14:solidFill>
                </w14:textFill>
              </w:rPr>
              <w:t>（须提供视频演示）</w:t>
            </w:r>
          </w:p>
          <w:p w14:paraId="4AE73FD9">
            <w:pPr>
              <w:jc w:val="left"/>
              <w:textAlignment w:val="center"/>
              <w:rPr>
                <w:rFonts w:hint="eastAsia" w:ascii="仿宋" w:hAnsi="仿宋" w:eastAsia="仿宋" w:cs="仿宋"/>
                <w:b/>
                <w:bCs/>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19、书单推荐：要求设备支持多种类书单图书推荐，包括新书推荐、热门推荐、必读书目、主席书单、课外必读等多种书单类型，各类型书单中推荐的图书均与主题呼应，各不相同，满足不同读者需求</w:t>
            </w:r>
            <w:r>
              <w:rPr>
                <w:rFonts w:hint="eastAsia" w:ascii="仿宋" w:hAnsi="仿宋" w:eastAsia="仿宋" w:cs="仿宋"/>
                <w:b/>
                <w:bCs/>
                <w:color w:val="000000" w:themeColor="text1"/>
                <w:sz w:val="24"/>
                <w:szCs w:val="24"/>
                <w:lang w:bidi="ar"/>
                <w14:textFill>
                  <w14:solidFill>
                    <w14:schemeClr w14:val="tx1"/>
                  </w14:solidFill>
                </w14:textFill>
              </w:rPr>
              <w:t>（须提供视频演示）</w:t>
            </w:r>
          </w:p>
          <w:p w14:paraId="0E196A60">
            <w:pPr>
              <w:jc w:val="left"/>
              <w:textAlignment w:val="center"/>
              <w:rPr>
                <w:rFonts w:hint="eastAsia" w:ascii="仿宋" w:hAnsi="仿宋" w:eastAsia="仿宋" w:cs="仿宋"/>
                <w:b/>
                <w:bCs/>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20、人脸检测屏保：设备在默认屏保状态下，摄像头检测到屏幕前有人脸时，即可自动退出屏保，无需使用者手动退出屏保。</w:t>
            </w:r>
          </w:p>
          <w:p w14:paraId="3E9E0CB2">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21、智能屏保：设备具有智能屏保功能，管理员可将屏保设置为图片轮播、视频轮播、每日一句、诗词、十万个为什么、童话故事、中华成语词典、资治通鉴等,可在设置界面选择多种模式。</w:t>
            </w:r>
            <w:r>
              <w:rPr>
                <w:rFonts w:hint="eastAsia" w:ascii="仿宋" w:hAnsi="仿宋" w:eastAsia="仿宋" w:cs="仿宋"/>
                <w:b/>
                <w:bCs/>
                <w:color w:val="000000" w:themeColor="text1"/>
                <w:sz w:val="24"/>
                <w:szCs w:val="24"/>
                <w:lang w:bidi="ar"/>
                <w14:textFill>
                  <w14:solidFill>
                    <w14:schemeClr w14:val="tx1"/>
                  </w14:solidFill>
                </w14:textFill>
              </w:rPr>
              <w:t>（须提供带有CMA标志的第三方检测报告复印件并加盖</w:t>
            </w:r>
            <w:r>
              <w:rPr>
                <w:rFonts w:hint="eastAsia" w:ascii="仿宋" w:hAnsi="仿宋" w:eastAsia="仿宋" w:cs="仿宋"/>
                <w:b/>
                <w:bCs/>
                <w:color w:val="000000" w:themeColor="text1"/>
                <w:sz w:val="24"/>
                <w:szCs w:val="24"/>
                <w:lang w:eastAsia="zh-CN" w:bidi="ar"/>
                <w14:textFill>
                  <w14:solidFill>
                    <w14:schemeClr w14:val="tx1"/>
                  </w14:solidFill>
                </w14:textFill>
              </w:rPr>
              <w:t>供应商</w:t>
            </w:r>
            <w:r>
              <w:rPr>
                <w:rFonts w:hint="eastAsia" w:ascii="仿宋" w:hAnsi="仿宋" w:eastAsia="仿宋" w:cs="仿宋"/>
                <w:b/>
                <w:bCs/>
                <w:color w:val="000000" w:themeColor="text1"/>
                <w:sz w:val="24"/>
                <w:szCs w:val="24"/>
                <w:lang w:bidi="ar"/>
                <w14:textFill>
                  <w14:solidFill>
                    <w14:schemeClr w14:val="tx1"/>
                  </w14:solidFill>
                </w14:textFill>
              </w:rPr>
              <w:t>公章）</w:t>
            </w:r>
          </w:p>
          <w:p w14:paraId="5059D0D2">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22、诗词屏保：要求系统具备诗词屏保功能，设备进入屏保后，可自动进行诗词内容滚动播放，诗词类型包括：诗经、楚辞、金刚经、道德经、唐诗、宋词、元曲等；</w:t>
            </w:r>
          </w:p>
          <w:p w14:paraId="20ACDF0F">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1)、诗词提供作者、诗词文、评析、注释、译文等内容，其中评析功能深入浅出地对诗词的写作背景、表达手法、意境阐述等方面进行讲解；</w:t>
            </w:r>
          </w:p>
          <w:p w14:paraId="22F602F7">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2）、诗词提供视听感受，精美国风风格界面、中华传统乐曲编制的背景音乐，让读者身临其境地感受诗意；</w:t>
            </w:r>
          </w:p>
          <w:p w14:paraId="375B943A">
            <w:pPr>
              <w:jc w:val="left"/>
              <w:textAlignment w:val="center"/>
              <w:rPr>
                <w:rFonts w:hint="eastAsia" w:ascii="仿宋" w:hAnsi="仿宋" w:eastAsia="仿宋" w:cs="仿宋"/>
                <w:b/>
                <w:bCs/>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3）、诗词内容展示便捷友好，支持上下划动实现内容展示，左右划动实现手动翻页；</w:t>
            </w:r>
          </w:p>
          <w:p w14:paraId="3951B483">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23、自助借阅：要求具有对图书标签防盗位进行复位或置位，可以一次借还多本书刊；</w:t>
            </w:r>
          </w:p>
          <w:p w14:paraId="0E86D28B">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24、隐私保护：要求具有保护读者隐私功能，可选择隐藏读者部分信息；</w:t>
            </w:r>
          </w:p>
          <w:p w14:paraId="6547E6E0">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25、读者管理：要求允许查看读者个人信息，借阅量、在借量、超期量、借阅期限和人脸注册信息；在借书刊借阅时间以及到期时间，是否允许续借；预借到期时间和取消预借；密码管理等；</w:t>
            </w:r>
          </w:p>
          <w:p w14:paraId="12710B0D">
            <w:pPr>
              <w:jc w:val="left"/>
              <w:textAlignment w:val="center"/>
              <w:rPr>
                <w:rFonts w:hint="eastAsia"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26、语音查询：可通过语音识别查询图书；</w:t>
            </w:r>
          </w:p>
          <w:p w14:paraId="15C1A5E0">
            <w:pPr>
              <w:jc w:val="left"/>
              <w:textAlignment w:val="center"/>
              <w:rPr>
                <w:rFonts w:hint="eastAsia"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27、智能语音：要求具有图形化、语音化的人机交互友好操作界面，提供简体中文语言的视觉交互提示、搜索和查询功能；</w:t>
            </w:r>
          </w:p>
          <w:p w14:paraId="41054609">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28、个性化设置：要求支持远程更换显示界面LOGO；允许对返回设备首页或进入读者登录界面的语音进行自定义设定；首页长时间无操作自动进入屏保，支持后台推送自定义屏保或使用历史今日图片；</w:t>
            </w:r>
          </w:p>
          <w:p w14:paraId="492A8D2E">
            <w:pPr>
              <w:jc w:val="left"/>
              <w:textAlignment w:val="center"/>
              <w:rPr>
                <w:rFonts w:hint="eastAsia" w:ascii="仿宋" w:hAnsi="仿宋" w:eastAsia="仿宋" w:cs="仿宋"/>
                <w:b/>
                <w:bCs/>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29、学习强国：要求设备具备学习强国功能，读者通过设备配套软件即可进入“学习强国”板块，查看最新“学习强国”资讯；“学习强国”板块与借还书功能可实现无缝切换；</w:t>
            </w:r>
            <w:r>
              <w:rPr>
                <w:rFonts w:hint="eastAsia" w:ascii="仿宋" w:hAnsi="仿宋" w:eastAsia="仿宋" w:cs="仿宋"/>
                <w:b/>
                <w:bCs/>
                <w:color w:val="000000" w:themeColor="text1"/>
                <w:sz w:val="24"/>
                <w:szCs w:val="24"/>
                <w:lang w:bidi="ar"/>
                <w14:textFill>
                  <w14:solidFill>
                    <w14:schemeClr w14:val="tx1"/>
                  </w14:solidFill>
                </w14:textFill>
              </w:rPr>
              <w:t>（须提供视频演示）</w:t>
            </w:r>
          </w:p>
          <w:p w14:paraId="22DF5A67">
            <w:pPr>
              <w:jc w:val="left"/>
              <w:textAlignment w:val="center"/>
              <w:rPr>
                <w:rFonts w:hint="eastAsia" w:ascii="仿宋" w:hAnsi="仿宋" w:eastAsia="仿宋" w:cs="仿宋"/>
                <w:b/>
                <w:bCs/>
                <w:color w:val="000000" w:themeColor="text1"/>
                <w:sz w:val="24"/>
                <w:szCs w:val="24"/>
                <w:lang w:eastAsia="zh-CN" w:bidi="ar"/>
                <w14:textFill>
                  <w14:solidFill>
                    <w14:schemeClr w14:val="tx1"/>
                  </w14:solidFill>
                </w14:textFill>
              </w:rPr>
            </w:pPr>
            <w:r>
              <w:rPr>
                <w:rFonts w:hint="eastAsia" w:ascii="仿宋" w:hAnsi="仿宋" w:eastAsia="仿宋" w:cs="仿宋"/>
                <w:b/>
                <w:bCs/>
                <w:color w:val="000000" w:themeColor="text1"/>
                <w:sz w:val="24"/>
                <w:szCs w:val="24"/>
                <w:lang w:eastAsia="zh-CN" w:bidi="ar"/>
                <w14:textFill>
                  <w14:solidFill>
                    <w14:schemeClr w14:val="tx1"/>
                  </w14:solidFill>
                </w14:textFill>
              </w:rPr>
              <w:t>注：视频演示材料应在提交响应文件截止时间之前密封递交U盘或光盘，（录像总时长不得超过</w:t>
            </w:r>
            <w:r>
              <w:rPr>
                <w:rFonts w:hint="eastAsia" w:ascii="仿宋" w:hAnsi="仿宋" w:eastAsia="仿宋" w:cs="仿宋"/>
                <w:b/>
                <w:bCs/>
                <w:color w:val="000000" w:themeColor="text1"/>
                <w:sz w:val="24"/>
                <w:szCs w:val="24"/>
                <w:lang w:val="en-US" w:eastAsia="zh-CN" w:bidi="ar"/>
                <w14:textFill>
                  <w14:solidFill>
                    <w14:schemeClr w14:val="tx1"/>
                  </w14:solidFill>
                </w14:textFill>
              </w:rPr>
              <w:t>10</w:t>
            </w:r>
            <w:r>
              <w:rPr>
                <w:rFonts w:hint="eastAsia" w:ascii="仿宋" w:hAnsi="仿宋" w:eastAsia="仿宋" w:cs="仿宋"/>
                <w:b/>
                <w:bCs/>
                <w:color w:val="000000" w:themeColor="text1"/>
                <w:sz w:val="24"/>
                <w:szCs w:val="24"/>
                <w:lang w:eastAsia="zh-CN" w:bidi="ar"/>
                <w14:textFill>
                  <w14:solidFill>
                    <w14:schemeClr w14:val="tx1"/>
                  </w14:solidFill>
                </w14:textFill>
              </w:rPr>
              <w:t>分钟，应采用常用的视频格式）</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FF92">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台</w:t>
            </w:r>
          </w:p>
        </w:tc>
        <w:tc>
          <w:tcPr>
            <w:tcW w:w="409" w:type="pct"/>
            <w:tcBorders>
              <w:top w:val="single" w:color="000000" w:sz="4" w:space="0"/>
              <w:left w:val="single" w:color="000000" w:sz="4" w:space="0"/>
              <w:bottom w:val="single" w:color="000000" w:sz="4" w:space="0"/>
              <w:right w:val="single" w:color="000000" w:sz="4" w:space="0"/>
            </w:tcBorders>
            <w:vAlign w:val="center"/>
          </w:tcPr>
          <w:p w14:paraId="7037400E">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w:t>
            </w:r>
          </w:p>
        </w:tc>
      </w:tr>
      <w:tr w14:paraId="6A0E86B3">
        <w:tblPrEx>
          <w:tblCellMar>
            <w:top w:w="0" w:type="dxa"/>
            <w:left w:w="108" w:type="dxa"/>
            <w:bottom w:w="0" w:type="dxa"/>
            <w:right w:w="108" w:type="dxa"/>
          </w:tblCellMar>
        </w:tblPrEx>
        <w:trPr>
          <w:trHeight w:val="9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58B1">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8</w:t>
            </w:r>
          </w:p>
        </w:tc>
        <w:tc>
          <w:tcPr>
            <w:tcW w:w="587" w:type="pct"/>
            <w:tcBorders>
              <w:top w:val="single" w:color="000000" w:sz="4" w:space="0"/>
              <w:left w:val="single" w:color="000000" w:sz="4" w:space="0"/>
              <w:bottom w:val="single" w:color="000000" w:sz="4" w:space="0"/>
              <w:right w:val="single" w:color="000000" w:sz="4" w:space="0"/>
            </w:tcBorders>
            <w:vAlign w:val="center"/>
          </w:tcPr>
          <w:p w14:paraId="6479BEF3">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升降式移动还书箱</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D492">
            <w:pPr>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与室内自助借还机配合使用，中转存放归还图书，是一种在图书重力作用下自行适度升降的还书箱。</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1、材质：电泳铝型材，纤维板，毛毯，超静音耐磨脚轮，不锈钢无缝拉手；</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2、设备重量：约25kg；</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3、平台升降高度：≤350mm；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4、图书容量：100册，最大承重100KG</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5、整体尺寸：665mm×610mm×780mm（长×宽×高） 含手柄和轮子；</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6、外观美观，结构稳定，后两轮固定方向，方便载重推向，前两轮自由转向带刹车可锁死，防止无意推动，整体设计不易攀爬，防止倾倒；</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7、移动轻便，可方便移动，适用不同环境；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B80E">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台</w:t>
            </w:r>
          </w:p>
        </w:tc>
        <w:tc>
          <w:tcPr>
            <w:tcW w:w="409" w:type="pct"/>
            <w:tcBorders>
              <w:top w:val="single" w:color="000000" w:sz="4" w:space="0"/>
              <w:left w:val="single" w:color="000000" w:sz="4" w:space="0"/>
              <w:bottom w:val="single" w:color="000000" w:sz="4" w:space="0"/>
              <w:right w:val="single" w:color="000000" w:sz="4" w:space="0"/>
            </w:tcBorders>
            <w:vAlign w:val="center"/>
          </w:tcPr>
          <w:p w14:paraId="4459FB2E">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w:t>
            </w:r>
          </w:p>
        </w:tc>
      </w:tr>
      <w:tr w14:paraId="3C813F23">
        <w:tblPrEx>
          <w:tblCellMar>
            <w:top w:w="0" w:type="dxa"/>
            <w:left w:w="108" w:type="dxa"/>
            <w:bottom w:w="0" w:type="dxa"/>
            <w:right w:w="108" w:type="dxa"/>
          </w:tblCellMar>
        </w:tblPrEx>
        <w:trPr>
          <w:trHeight w:val="1266"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6F06">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9</w:t>
            </w:r>
          </w:p>
        </w:tc>
        <w:tc>
          <w:tcPr>
            <w:tcW w:w="587" w:type="pct"/>
            <w:tcBorders>
              <w:top w:val="single" w:color="000000" w:sz="4" w:space="0"/>
              <w:left w:val="single" w:color="000000" w:sz="4" w:space="0"/>
              <w:bottom w:val="single" w:color="000000" w:sz="4" w:space="0"/>
              <w:right w:val="single" w:color="000000" w:sz="4" w:space="0"/>
            </w:tcBorders>
            <w:vAlign w:val="center"/>
          </w:tcPr>
          <w:p w14:paraId="65277C88">
            <w:pPr>
              <w:jc w:val="both"/>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检索查询机</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0FC3">
            <w:pPr>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1、检索查询机为读者提供基本的信息查询功能，读者可以检索图书馆内的馆藏信息，也可浏览图书馆最新公布信息，联网后还可登录网站进行咨询和获取图书馆提供的数字资源等。</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2、材质：铝型材，冷轧钢板、不易变形、机柜与固定背板部件结合紧密；</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3、屏幕尺寸：32寸（16:9）及以上红外多点触摸LED液晶屏；定位精度：≤2mm；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4、主机配置：因特尔酷睿I3处理器及以上，内存：4GDDR3，系统存储：128GSSD及以上；</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5、接口配置：LAN有线网口 RJ45八芯标准接口，WiFi 2.4GHz，USB*1，HDMI(out)*1；</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6、整机功率：≤200W；</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7、工作温度：-10℃～50℃；</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8、储存温度：-20℃～60℃；</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9、相对湿度：5%～80%；</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10、功放：立体功放，2*10W音箱，内磁式；</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11、分辨率：1920*1080</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12、通过此系统可进行图书信息、借阅情况等的查询，该系统还具有预约、催还、续借等功能；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13、读者可以查询所有馆藏书刊的馆藏地信息、书刊信息状态。该查询系统提供了题名、著者、索取号、出版社等多个检索入口；</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14、读者可以输入证件号和密码，登陆该查询系统，查看本人的适用规则、借阅书刊信息、借阅历史等；</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15、可以显示所有馆藏地近期到馆的新图书，用户可以设置查询的指定馆藏地或时间；</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16、服务器根据读者适用规则自动检测读者借阅图书是否超期，并将超期读者的姓名等信息显示在相关页面中，提醒读者到图书馆办理还书手续。</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17、</w:t>
            </w:r>
            <w:r>
              <w:rPr>
                <w:rFonts w:hint="eastAsia" w:ascii="仿宋" w:hAnsi="仿宋" w:eastAsia="仿宋" w:cs="仿宋"/>
                <w:b/>
                <w:bCs/>
                <w:color w:val="000000" w:themeColor="text1"/>
                <w:sz w:val="24"/>
                <w:szCs w:val="24"/>
                <w:lang w:bidi="ar"/>
                <w14:textFill>
                  <w14:solidFill>
                    <w14:schemeClr w14:val="tx1"/>
                  </w14:solidFill>
                </w14:textFill>
              </w:rPr>
              <w:t>投标产品所使用的触控一体机要求与投标产品为同一品牌，且对人眼直接观看无伤害，提供该触控一体机通过IEC/TR 62778-2014或GB/T20145-2006标准检测，蓝光危害辐亮度风险等级为RG0的检测报告复印件予以佐证。</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B87A">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台</w:t>
            </w:r>
          </w:p>
        </w:tc>
        <w:tc>
          <w:tcPr>
            <w:tcW w:w="409" w:type="pct"/>
            <w:tcBorders>
              <w:top w:val="single" w:color="000000" w:sz="4" w:space="0"/>
              <w:left w:val="single" w:color="000000" w:sz="4" w:space="0"/>
              <w:bottom w:val="single" w:color="000000" w:sz="4" w:space="0"/>
              <w:right w:val="single" w:color="000000" w:sz="4" w:space="0"/>
            </w:tcBorders>
            <w:vAlign w:val="center"/>
          </w:tcPr>
          <w:p w14:paraId="01E21E47">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w:t>
            </w:r>
          </w:p>
        </w:tc>
      </w:tr>
      <w:tr w14:paraId="4227A522">
        <w:tblPrEx>
          <w:tblCellMar>
            <w:top w:w="0" w:type="dxa"/>
            <w:left w:w="108" w:type="dxa"/>
            <w:bottom w:w="0" w:type="dxa"/>
            <w:right w:w="108" w:type="dxa"/>
          </w:tblCellMar>
        </w:tblPrEx>
        <w:trPr>
          <w:trHeight w:val="166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0153">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10</w:t>
            </w:r>
          </w:p>
        </w:tc>
        <w:tc>
          <w:tcPr>
            <w:tcW w:w="587" w:type="pct"/>
            <w:tcBorders>
              <w:top w:val="single" w:color="000000" w:sz="4" w:space="0"/>
              <w:left w:val="single" w:color="000000" w:sz="4" w:space="0"/>
              <w:bottom w:val="single" w:color="000000" w:sz="4" w:space="0"/>
              <w:right w:val="single" w:color="000000" w:sz="4" w:space="0"/>
            </w:tcBorders>
            <w:vAlign w:val="center"/>
          </w:tcPr>
          <w:p w14:paraId="66E8F9BE">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一体化馆员工作站</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BEF2">
            <w:pPr>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一体化馆员工作站是集成RFID读写装置、各种类型读者证卡或二代身份证识别装置、条形码识别装置于一体的设备，对RFID图书/档案标签进行编写、识别和流通状态处理，应用于标签转换以及图书人工借还环节。整机尺寸：长≥550mm，宽≥465mm，高≥448mm；天线板规格：长≥360mm，宽≥275mm，高≥15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2、整机规格：要求采用18.5英寸及以上屏幕尺寸，支持多点触控，具有USB或RS232、RJ45，无线网络扩展功能；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3、材质：要求整机一体化设计，ABS工程塑料，亚克力，钣金；</w:t>
            </w:r>
            <w:r>
              <w:rPr>
                <w:rFonts w:hint="eastAsia" w:ascii="仿宋" w:hAnsi="仿宋" w:eastAsia="仿宋" w:cs="仿宋"/>
                <w:b/>
                <w:bCs/>
                <w:color w:val="000000" w:themeColor="text1"/>
                <w:sz w:val="24"/>
                <w:szCs w:val="24"/>
                <w:lang w:bidi="ar"/>
                <w14:textFill>
                  <w14:solidFill>
                    <w14:schemeClr w14:val="tx1"/>
                  </w14:solidFill>
                </w14:textFill>
              </w:rPr>
              <w:t>（须提供带有CMA标志的第三方检测报告复印件并加盖</w:t>
            </w:r>
            <w:r>
              <w:rPr>
                <w:rFonts w:hint="eastAsia" w:ascii="仿宋" w:hAnsi="仿宋" w:eastAsia="仿宋" w:cs="仿宋"/>
                <w:b/>
                <w:bCs/>
                <w:color w:val="000000" w:themeColor="text1"/>
                <w:sz w:val="24"/>
                <w:szCs w:val="24"/>
                <w:lang w:eastAsia="zh-CN" w:bidi="ar"/>
                <w14:textFill>
                  <w14:solidFill>
                    <w14:schemeClr w14:val="tx1"/>
                  </w14:solidFill>
                </w14:textFill>
              </w:rPr>
              <w:t>供应商</w:t>
            </w:r>
            <w:r>
              <w:rPr>
                <w:rFonts w:hint="eastAsia" w:ascii="仿宋" w:hAnsi="仿宋" w:eastAsia="仿宋" w:cs="仿宋"/>
                <w:b/>
                <w:bCs/>
                <w:color w:val="000000" w:themeColor="text1"/>
                <w:sz w:val="24"/>
                <w:szCs w:val="24"/>
                <w:lang w:bidi="ar"/>
                <w14:textFill>
                  <w14:solidFill>
                    <w14:schemeClr w14:val="tx1"/>
                  </w14:solidFill>
                </w14:textFill>
              </w:rPr>
              <w:t>公章）</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4、系统配置：Windows7系统，英特尔I5/4300U双核 1.9GHz，内存4G，64G SSD固态硬盘；</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5、读卡速度：≥50张/秒；</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6、工作频率：13.56MHz；</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7、图书识别：要求可识别多本（堆砌高度：≤250mm）；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8、防冲突性：要求一次至少可有效识读8个RFID标签。</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9、读者证阅读器：具备RF读者证阅读模块，支持ISO14443A标准、ISO15693标准；</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10、支持RFID标签非接触式地进行阅读，有读取、写入、改写RFID标签的能力，允许流通资料的相关信息快速写入标签。</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11、工作模式：要求具有管理员界面可选配馆员模式、自助借还模式、借书模式、还书模式、查询模式等多种工作模式，保证系统软件操作更便捷化；</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12、图书管理：要求具有图书绑定、图书列表、借还标志位、标签读取等功能；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13、图书绑定：要求具有条形码和标签的绑定功能，将图书信息上传后台，允许导出或删除；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14、图书列表：可获取图书列表、删除指定图书、条件检索图书，支持查找和删除已经转换过的标签，可通过“条码”、“标签”、“作者”进行查找；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15、EAS防盗位读写：要求可自动读取借还标志位(EAS)状态，支持修改RFID标签安全位的开启和关闭；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16、标签读写：要求可自动读取标签信息，支持检测和修改图书标签内相关信息以及核对标签转换是否正常，标签读写支持28560规范；</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17、读者激活：系统读取读者证芯片信息，选择馆藏地，录入或批量导入读者信息和读者证号，绑定激活，便可在设备进行正常借还操作；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18、读者列表：可获取读者列表、查看读者信息与借阅记录，允许删除或导出指定读者；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19、图书借还：要求具有借书、还书、预约功能，允许查看读者借阅记录以及读者信息；</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20、层架标创建：要求支持层架标创建、上传同步，创建新层架标并加入描述，方便管控层架；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21、层架标列表：要求可获取层架标列表、编辑修改和删除指定层架标信息；</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22、系统设置：要求具有检索读卡器、图书管理系统、 功能选配、设置组织、语言设置、帮助指南等多个设置功能；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23、检索读卡器：要求设备开启时自动检测读卡器连接状态；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24、图书管理系统：可设置图书馆管理系统的地址，点击浏览器可直接跳转至图书馆管理系统；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25、功能配置：要求导航栏可根据需要显示和隐藏；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26、设置组织：要求可随时切换所需操作的组织单位；</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27、语言选择：系统可支持中、英文切换；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28、账号管理：允许用户修改昵称，绑定电话号码及邮箱，支持修改密码；</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29、自助借还模式：要求具有查看读者信息，允许读者自助借还书刊、查询书刊详情、馆藏位置、预借信息的功能；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30、借书模式：系统可设置为仅允许读者借阅书刊模式；</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31、还书模式:系统可设置为仅允许读者还书操作,提示读者还书位置，方便规范管理，减少馆员工作量；</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32、查询模式：系统可设置为仅允许读者查询所属馆藏地的书刊位置、条码、书刊详情；</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34FD">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台</w:t>
            </w:r>
          </w:p>
        </w:tc>
        <w:tc>
          <w:tcPr>
            <w:tcW w:w="409" w:type="pct"/>
            <w:tcBorders>
              <w:top w:val="single" w:color="000000" w:sz="4" w:space="0"/>
              <w:left w:val="single" w:color="000000" w:sz="4" w:space="0"/>
              <w:bottom w:val="single" w:color="000000" w:sz="4" w:space="0"/>
              <w:right w:val="single" w:color="000000" w:sz="4" w:space="0"/>
            </w:tcBorders>
            <w:vAlign w:val="center"/>
          </w:tcPr>
          <w:p w14:paraId="6907970A">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w:t>
            </w:r>
          </w:p>
        </w:tc>
      </w:tr>
      <w:tr w14:paraId="104D6B17">
        <w:tblPrEx>
          <w:tblCellMar>
            <w:top w:w="0" w:type="dxa"/>
            <w:left w:w="108" w:type="dxa"/>
            <w:bottom w:w="0" w:type="dxa"/>
            <w:right w:w="108" w:type="dxa"/>
          </w:tblCellMar>
        </w:tblPrEx>
        <w:trPr>
          <w:trHeight w:val="186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E72A">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11</w:t>
            </w:r>
          </w:p>
        </w:tc>
        <w:tc>
          <w:tcPr>
            <w:tcW w:w="587" w:type="pct"/>
            <w:tcBorders>
              <w:top w:val="single" w:color="000000" w:sz="4" w:space="0"/>
              <w:left w:val="single" w:color="000000" w:sz="4" w:space="0"/>
              <w:bottom w:val="single" w:color="000000" w:sz="4" w:space="0"/>
              <w:right w:val="single" w:color="000000" w:sz="4" w:space="0"/>
            </w:tcBorders>
            <w:vAlign w:val="center"/>
          </w:tcPr>
          <w:p w14:paraId="316A8072">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智能点检车</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078E">
            <w:pPr>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智能点检车以图书标签为馆藏资料管理介质，多功能智能点检车为主要工具，通过架标与层标，构筑基于数字化的智能图书馆环境，从而实现排架，查找和统计流通资料等功能，扫描速度高效，精确可靠，具备盘点、巡架、查找、上架、剔除、数据采集功能。实现馆藏的图形化、精确化、实时化和高效率。</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2、主机配置：要求采用15英寸及以上屏幕，Android 11.0及以上，CPU:RK3568及以上,8G内存及以上，32G存储及以上，具有多点触控功能；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3、整机规格：长≥747mm，宽≥422mm，高≥1112mm；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4、通信方式：无线WIFI；</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5、输出电压：12V；电池容量：80AH；</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6、材料结构：要求车体采用中碳钢板材一体加工成型，设计紧凑，简约大方，方便集成到图书馆的设施和图书馆业务实施环境中，触摸设备与车体框架一体融合，车体下端设置不锈钢护栏可有效防止书本侧滑；</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7、屏幕分辨率：1024 × 768；</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8、屏幕类型：LED；</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9、工作温度：-20℃～60℃；</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10、工作频率：13.56MHz；</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11、支持协议：要求符合 ISO/IEC 15693 协议各主流电子标签（TI、PHILIPS、ST、INFINEON、FUJITSU）；</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12、要求具有非接触式地快速识别粘贴在流通资料上的RFID标签和层标、架标，完成盘点、查找等功能。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13、盘点：要求具有盘点层架上的当前书刊信息，生成在架图书列表，同时标记书刊馆藏位置信息并标记位置异常书刊、新增书刊、以及状态异常（丢失、外借、剔旧、已移除、污损）的书刊信息功能；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14、查找：要求具有通过选择书名、条形码号、标签，查找符合搜索条件的书刊信息及位置功能；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15、上架：要求具有层架信息与书刊信息相关联，更新书刊位置信息，对扫描到的异常状态（丢失、外借、剔旧、已移除、污损）的书刊进行标记，允许重新上架功能；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16、剔旧：要求具有在管理平台上对书刊信息进行批量剔旧，生成表单下载到点检仪中，对在架图书进行盘点或上架时，遇到表单上的图书进行提示的功能；可根据显示平台拉取到的剔旧列表，扫描到列表上剔旧书刊进行移除，可以对需要剔旧的书刊直接扫描移除，上传数据；</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17、创建层架标：要求支持扫描层架标标签，层架条码扫码写入，添加描述快速完成创建；具有层架标签查重，对扫描到已添加的层架信息进行提示，并显示已有信息功能，创建完成的层架信息可实时同步管理平台；</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18、修改层架标：要求具有修改条码信息，以及层架描述功能，可对层架标进行批量删除操作；</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19、统计分析：要求扫描书刊，即可显示书刊详情，借阅次数，以及借阅记录；</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20、馆藏地：要求具有切换馆藏地功能；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21、预约列表：要求可对条码、书名、借阅证号、读者标签、预借状态等进行查找，筛选符合信息的数据，对属于预借状态的书刊，提供声音和图形界面的报警功能；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 xml:space="preserve">22、取消关联：要求具有对指定层架所绑定的书刊进行解绑的功能，可输入所需解绑位置的书刊的条码、或扫描书刊标签，对其进行解绑； </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23、清除缓存：图书上架，盘点等数据均可保存至本地，为避免长时间未操作出现数据丢失而增加工作量，要求具有清除本地缓存数据功能；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24、上传数据：所有操作包括上架、盘点、剔除等操作数据，需点击上传数据，数据便可同步至管理平台；</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25、数据下载：要求具有数据下载功能，可实时获取平台最新数据；</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8E75">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台</w:t>
            </w:r>
          </w:p>
        </w:tc>
        <w:tc>
          <w:tcPr>
            <w:tcW w:w="409" w:type="pct"/>
            <w:tcBorders>
              <w:top w:val="single" w:color="000000" w:sz="4" w:space="0"/>
              <w:left w:val="single" w:color="000000" w:sz="4" w:space="0"/>
              <w:bottom w:val="single" w:color="000000" w:sz="4" w:space="0"/>
              <w:right w:val="single" w:color="000000" w:sz="4" w:space="0"/>
            </w:tcBorders>
            <w:vAlign w:val="center"/>
          </w:tcPr>
          <w:p w14:paraId="4A3ED700">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w:t>
            </w:r>
          </w:p>
        </w:tc>
      </w:tr>
      <w:tr w14:paraId="129D928D">
        <w:tblPrEx>
          <w:tblCellMar>
            <w:top w:w="0" w:type="dxa"/>
            <w:left w:w="108" w:type="dxa"/>
            <w:bottom w:w="0" w:type="dxa"/>
            <w:right w:w="108" w:type="dxa"/>
          </w:tblCellMar>
        </w:tblPrEx>
        <w:trPr>
          <w:trHeight w:val="416"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176B">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12</w:t>
            </w:r>
          </w:p>
        </w:tc>
        <w:tc>
          <w:tcPr>
            <w:tcW w:w="587" w:type="pct"/>
            <w:tcBorders>
              <w:top w:val="single" w:color="000000" w:sz="4" w:space="0"/>
              <w:left w:val="single" w:color="000000" w:sz="4" w:space="0"/>
              <w:bottom w:val="single" w:color="000000" w:sz="4" w:space="0"/>
              <w:right w:val="single" w:color="000000" w:sz="4" w:space="0"/>
            </w:tcBorders>
            <w:vAlign w:val="center"/>
          </w:tcPr>
          <w:p w14:paraId="535E047C">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馆情分析大屏</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2DFF">
            <w:pPr>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1.屏幕规格：65寸</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2.整机尺寸：1496.7MM*875.2MM*99.6MM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3.背光类型：LED</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4.分辨率：1920*1080  50/60HZ,</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5.对比度：3000：1，</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6.红外触摸屏  10点，</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7.系统版本：Android 11</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8.CPU：</w:t>
            </w:r>
            <w:r>
              <w:rPr>
                <w:rFonts w:hint="eastAsia" w:ascii="仿宋" w:hAnsi="仿宋" w:eastAsia="仿宋" w:cs="仿宋"/>
                <w:color w:val="000000" w:themeColor="text1"/>
                <w:sz w:val="24"/>
                <w:szCs w:val="24"/>
                <w:lang w:eastAsia="zh-CN" w:bidi="ar"/>
                <w14:textFill>
                  <w14:solidFill>
                    <w14:schemeClr w14:val="tx1"/>
                  </w14:solidFill>
                </w14:textFill>
              </w:rPr>
              <w:t>性能不低于</w:t>
            </w:r>
            <w:r>
              <w:rPr>
                <w:rFonts w:hint="eastAsia" w:ascii="仿宋" w:hAnsi="仿宋" w:eastAsia="仿宋" w:cs="仿宋"/>
                <w:color w:val="000000" w:themeColor="text1"/>
                <w:sz w:val="24"/>
                <w:szCs w:val="24"/>
                <w:lang w:bidi="ar"/>
                <w14:textFill>
                  <w14:solidFill>
                    <w14:schemeClr w14:val="tx1"/>
                  </w14:solidFill>
                </w14:textFill>
              </w:rPr>
              <w:t>四核64 位Cortex-A55,主频</w:t>
            </w:r>
            <w:r>
              <w:rPr>
                <w:rFonts w:hint="eastAsia" w:ascii="仿宋" w:hAnsi="仿宋" w:eastAsia="仿宋" w:cs="仿宋"/>
                <w:color w:val="000000" w:themeColor="text1"/>
                <w:sz w:val="24"/>
                <w:szCs w:val="24"/>
                <w:lang w:eastAsia="zh-CN" w:bidi="ar"/>
                <w14:textFill>
                  <w14:solidFill>
                    <w14:schemeClr w14:val="tx1"/>
                  </w14:solidFill>
                </w14:textFill>
              </w:rPr>
              <w:t>不低于</w:t>
            </w:r>
            <w:r>
              <w:rPr>
                <w:rFonts w:hint="eastAsia" w:ascii="仿宋" w:hAnsi="仿宋" w:eastAsia="仿宋" w:cs="仿宋"/>
                <w:color w:val="000000" w:themeColor="text1"/>
                <w:sz w:val="24"/>
                <w:szCs w:val="24"/>
                <w:lang w:bidi="ar"/>
                <w14:textFill>
                  <w14:solidFill>
                    <w14:schemeClr w14:val="tx1"/>
                  </w14:solidFill>
                </w14:textFill>
              </w:rPr>
              <w:t>1.8Ghz</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9.运行内存：标配2G / 可选4G,存储空间：标配8G/ 可选32G</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6E0C">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台</w:t>
            </w:r>
          </w:p>
        </w:tc>
        <w:tc>
          <w:tcPr>
            <w:tcW w:w="409" w:type="pct"/>
            <w:tcBorders>
              <w:top w:val="single" w:color="000000" w:sz="4" w:space="0"/>
              <w:left w:val="single" w:color="000000" w:sz="4" w:space="0"/>
              <w:bottom w:val="single" w:color="000000" w:sz="4" w:space="0"/>
              <w:right w:val="single" w:color="000000" w:sz="4" w:space="0"/>
            </w:tcBorders>
            <w:vAlign w:val="center"/>
          </w:tcPr>
          <w:p w14:paraId="6CEC971A">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w:t>
            </w:r>
          </w:p>
        </w:tc>
      </w:tr>
      <w:tr w14:paraId="0DD4FF1A">
        <w:tblPrEx>
          <w:tblCellMar>
            <w:top w:w="0" w:type="dxa"/>
            <w:left w:w="108" w:type="dxa"/>
            <w:bottom w:w="0" w:type="dxa"/>
            <w:right w:w="108" w:type="dxa"/>
          </w:tblCellMar>
        </w:tblPrEx>
        <w:trPr>
          <w:trHeight w:val="649"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F806">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13</w:t>
            </w:r>
          </w:p>
        </w:tc>
        <w:tc>
          <w:tcPr>
            <w:tcW w:w="587" w:type="pct"/>
            <w:tcBorders>
              <w:top w:val="single" w:color="000000" w:sz="4" w:space="0"/>
              <w:left w:val="single" w:color="000000" w:sz="4" w:space="0"/>
              <w:bottom w:val="single" w:color="000000" w:sz="4" w:space="0"/>
              <w:right w:val="single" w:color="000000" w:sz="4" w:space="0"/>
            </w:tcBorders>
            <w:vAlign w:val="center"/>
          </w:tcPr>
          <w:p w14:paraId="78A1DC6B">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RFID安全门（四通道）</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4A73">
            <w:pPr>
              <w:jc w:val="left"/>
              <w:textAlignment w:val="center"/>
              <w:rPr>
                <w:rFonts w:hint="eastAsia" w:ascii="仿宋" w:hAnsi="仿宋" w:eastAsia="仿宋" w:cs="仿宋"/>
                <w:b/>
                <w:bCs/>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安全门系统是专为智慧图书馆设计的高性能防盗设备，通过读取粘贴在书籍上的RFID标签来对书籍借阅状态进行判断，以达到防盗和监控的目的。此系列安全门采用RFID技术和三维全向感应设计，支持电子标签任意方向的检测；支持多种报警检测模式；同一系列可支持多片安全门并排安装使用。</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2、单片产品规格：长≥696mm*宽≥140mm*高≥1679mm；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3、通道规格：单通道宽度≥100cm±3cm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4、安全门（单通道）底座：长≥925mm*宽≥690mm；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5、工作频率：13.56MHz；</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6、符合协议：要求符合ISO18000-3/ISO15693；</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7、通信接口：支持以太网、RS232、RS485；</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8、告警方式：通道具有声光报警功能；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9、语音提示：要求具有自定义语音提示功能，支持MP3格式，可配置不少于5个告警、提示等语音文件，配置方式简单易操作；</w:t>
            </w:r>
          </w:p>
          <w:p w14:paraId="6DECBE6C">
            <w:pPr>
              <w:jc w:val="left"/>
              <w:textAlignment w:val="center"/>
              <w:rPr>
                <w:rFonts w:hint="eastAsia" w:ascii="仿宋" w:hAnsi="仿宋" w:eastAsia="仿宋" w:cs="仿宋"/>
                <w:b/>
                <w:bCs/>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10、喇叭功率：要求内置5W*2个扬声器，提供清晰、量感充沛的音质输出；</w:t>
            </w:r>
          </w:p>
          <w:p w14:paraId="10A7C0C9">
            <w:pPr>
              <w:jc w:val="left"/>
              <w:textAlignment w:val="center"/>
              <w:rPr>
                <w:rFonts w:hint="eastAsia" w:ascii="仿宋" w:hAnsi="仿宋" w:eastAsia="仿宋" w:cs="仿宋"/>
                <w:b/>
                <w:bCs/>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11、信号联动：要求每片安全门支持不少于5路数字信号联动输出，其中一路可直接控制220V电源的通断；</w:t>
            </w:r>
            <w:r>
              <w:rPr>
                <w:rFonts w:hint="eastAsia" w:ascii="仿宋" w:hAnsi="仿宋" w:eastAsia="仿宋" w:cs="仿宋"/>
                <w:b/>
                <w:bCs/>
                <w:color w:val="000000" w:themeColor="text1"/>
                <w:sz w:val="24"/>
                <w:szCs w:val="24"/>
                <w:lang w:bidi="ar"/>
                <w14:textFill>
                  <w14:solidFill>
                    <w14:schemeClr w14:val="tx1"/>
                  </w14:solidFill>
                </w14:textFill>
              </w:rPr>
              <w:t>（须提供带有CMA标志的第三方检测报告复印件并加盖</w:t>
            </w:r>
            <w:r>
              <w:rPr>
                <w:rFonts w:hint="eastAsia" w:ascii="仿宋" w:hAnsi="仿宋" w:eastAsia="仿宋" w:cs="仿宋"/>
                <w:b/>
                <w:bCs/>
                <w:color w:val="000000" w:themeColor="text1"/>
                <w:sz w:val="24"/>
                <w:szCs w:val="24"/>
                <w:lang w:eastAsia="zh-CN" w:bidi="ar"/>
                <w14:textFill>
                  <w14:solidFill>
                    <w14:schemeClr w14:val="tx1"/>
                  </w14:solidFill>
                </w14:textFill>
              </w:rPr>
              <w:t>供应商</w:t>
            </w:r>
            <w:r>
              <w:rPr>
                <w:rFonts w:hint="eastAsia" w:ascii="仿宋" w:hAnsi="仿宋" w:eastAsia="仿宋" w:cs="仿宋"/>
                <w:b/>
                <w:bCs/>
                <w:color w:val="000000" w:themeColor="text1"/>
                <w:sz w:val="24"/>
                <w:szCs w:val="24"/>
                <w:lang w:bidi="ar"/>
                <w14:textFill>
                  <w14:solidFill>
                    <w14:schemeClr w14:val="tx1"/>
                  </w14:solidFill>
                </w14:textFill>
              </w:rPr>
              <w:t>公章）</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12、固件升级：要求安全门所有固件均可通过软件升级，无需专用设备；</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13、要求支持多种报警检测模式：EAS、AFI、EAS+AFI、AFI+DSFID；</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14、标签识别：非接触式的快速识别粘贴在流通资料上的RFID标签；</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15、安全扫描：对图书馆内的印刷品、视听出版物、CD及DVD等流通资料进行安全扫描操作，要求不损坏粘贴在流通资料中的磁性介质的资料；</w:t>
            </w:r>
            <w:r>
              <w:rPr>
                <w:rFonts w:hint="eastAsia" w:ascii="仿宋" w:hAnsi="仿宋" w:eastAsia="仿宋" w:cs="仿宋"/>
                <w:b/>
                <w:bCs/>
                <w:color w:val="000000" w:themeColor="text1"/>
                <w:sz w:val="24"/>
                <w:szCs w:val="24"/>
                <w:lang w:bidi="ar"/>
                <w14:textFill>
                  <w14:solidFill>
                    <w14:schemeClr w14:val="tx1"/>
                  </w14:solidFill>
                </w14:textFill>
              </w:rPr>
              <w:t>（须提供带有CMA标志的第三方检测报告复印件并加盖</w:t>
            </w:r>
            <w:r>
              <w:rPr>
                <w:rFonts w:hint="eastAsia" w:ascii="仿宋" w:hAnsi="仿宋" w:eastAsia="仿宋" w:cs="仿宋"/>
                <w:b/>
                <w:bCs/>
                <w:color w:val="000000" w:themeColor="text1"/>
                <w:sz w:val="24"/>
                <w:szCs w:val="24"/>
                <w:lang w:eastAsia="zh-CN" w:bidi="ar"/>
                <w14:textFill>
                  <w14:solidFill>
                    <w14:schemeClr w14:val="tx1"/>
                  </w14:solidFill>
                </w14:textFill>
              </w:rPr>
              <w:t>供应商</w:t>
            </w:r>
            <w:r>
              <w:rPr>
                <w:rFonts w:hint="eastAsia" w:ascii="仿宋" w:hAnsi="仿宋" w:eastAsia="仿宋" w:cs="仿宋"/>
                <w:b/>
                <w:bCs/>
                <w:color w:val="000000" w:themeColor="text1"/>
                <w:sz w:val="24"/>
                <w:szCs w:val="24"/>
                <w:lang w:bidi="ar"/>
                <w14:textFill>
                  <w14:solidFill>
                    <w14:schemeClr w14:val="tx1"/>
                  </w14:solidFill>
                </w14:textFill>
              </w:rPr>
              <w:t>公章）</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16、设备系统：具有高侦测性能系统，能够进行三维监测，要求无误报，无漏报；</w:t>
            </w:r>
          </w:p>
          <w:p w14:paraId="34155D76">
            <w:pPr>
              <w:jc w:val="left"/>
              <w:textAlignment w:val="center"/>
              <w:rPr>
                <w:rFonts w:hint="eastAsia" w:ascii="仿宋" w:hAnsi="仿宋" w:eastAsia="仿宋" w:cs="仿宋"/>
                <w:b/>
                <w:bCs/>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17、人流量统计：检测人员流动，自动判别进、出方向，自动保存人流量数据，断网、断电数据不丢失；</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18、数码显示：要求每片安全门可轮流显示日期、时间和人流量等信息；</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19、状态指示：要求每片安全门具有独立射频状态指示灯，无需打开设备罩壳就可以观察到天线的工作状态；</w:t>
            </w:r>
            <w:r>
              <w:rPr>
                <w:rFonts w:hint="eastAsia" w:ascii="仿宋" w:hAnsi="仿宋" w:eastAsia="仿宋" w:cs="仿宋"/>
                <w:b/>
                <w:bCs/>
                <w:color w:val="000000" w:themeColor="text1"/>
                <w:sz w:val="24"/>
                <w:szCs w:val="24"/>
                <w:lang w:bidi="ar"/>
                <w14:textFill>
                  <w14:solidFill>
                    <w14:schemeClr w14:val="tx1"/>
                  </w14:solidFill>
                </w14:textFill>
              </w:rPr>
              <w:t>（须提供带有CMA标志的第三方检测报告复印件并加盖</w:t>
            </w:r>
            <w:r>
              <w:rPr>
                <w:rFonts w:hint="eastAsia" w:ascii="仿宋" w:hAnsi="仿宋" w:eastAsia="仿宋" w:cs="仿宋"/>
                <w:b/>
                <w:bCs/>
                <w:color w:val="000000" w:themeColor="text1"/>
                <w:sz w:val="24"/>
                <w:szCs w:val="24"/>
                <w:lang w:eastAsia="zh-CN" w:bidi="ar"/>
                <w14:textFill>
                  <w14:solidFill>
                    <w14:schemeClr w14:val="tx1"/>
                  </w14:solidFill>
                </w14:textFill>
              </w:rPr>
              <w:t>供应商</w:t>
            </w:r>
            <w:r>
              <w:rPr>
                <w:rFonts w:hint="eastAsia" w:ascii="仿宋" w:hAnsi="仿宋" w:eastAsia="仿宋" w:cs="仿宋"/>
                <w:b/>
                <w:bCs/>
                <w:color w:val="000000" w:themeColor="text1"/>
                <w:sz w:val="24"/>
                <w:szCs w:val="24"/>
                <w:lang w:bidi="ar"/>
                <w14:textFill>
                  <w14:solidFill>
                    <w14:schemeClr w14:val="tx1"/>
                  </w14:solidFill>
                </w14:textFill>
              </w:rPr>
              <w:t>公章）</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20、参数配置：要求安全门具有Micro-USB接口，连接电脑即可直接读取和修改安全门配置；</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21、自检功能：要求安全门具备上电自检功能，如有故障，可语音提示；</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51A2">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套</w:t>
            </w:r>
          </w:p>
        </w:tc>
        <w:tc>
          <w:tcPr>
            <w:tcW w:w="409" w:type="pct"/>
            <w:tcBorders>
              <w:top w:val="single" w:color="000000" w:sz="4" w:space="0"/>
              <w:left w:val="single" w:color="000000" w:sz="4" w:space="0"/>
              <w:bottom w:val="single" w:color="000000" w:sz="4" w:space="0"/>
              <w:right w:val="single" w:color="000000" w:sz="4" w:space="0"/>
            </w:tcBorders>
            <w:vAlign w:val="center"/>
          </w:tcPr>
          <w:p w14:paraId="0ADB7E8F">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w:t>
            </w:r>
          </w:p>
        </w:tc>
      </w:tr>
      <w:tr w14:paraId="5666009B">
        <w:tblPrEx>
          <w:tblCellMar>
            <w:top w:w="0" w:type="dxa"/>
            <w:left w:w="108" w:type="dxa"/>
            <w:bottom w:w="0" w:type="dxa"/>
            <w:right w:w="108" w:type="dxa"/>
          </w:tblCellMar>
        </w:tblPrEx>
        <w:trPr>
          <w:trHeight w:val="2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42AA">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14</w:t>
            </w:r>
          </w:p>
        </w:tc>
        <w:tc>
          <w:tcPr>
            <w:tcW w:w="587" w:type="pct"/>
            <w:tcBorders>
              <w:top w:val="single" w:color="000000" w:sz="4" w:space="0"/>
              <w:left w:val="single" w:color="000000" w:sz="4" w:space="0"/>
              <w:bottom w:val="single" w:color="000000" w:sz="4" w:space="0"/>
              <w:right w:val="single" w:color="000000" w:sz="4" w:space="0"/>
            </w:tcBorders>
            <w:vAlign w:val="center"/>
          </w:tcPr>
          <w:p w14:paraId="1F903EEC">
            <w:pPr>
              <w:jc w:val="center"/>
              <w:textAlignment w:val="center"/>
              <w:rPr>
                <w:rFonts w:hint="eastAsia"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b/>
                <w:bCs/>
                <w:color w:val="000000" w:themeColor="text1"/>
                <w:sz w:val="24"/>
                <w:szCs w:val="24"/>
                <w:lang w:bidi="ar"/>
                <w14:textFill>
                  <w14:solidFill>
                    <w14:schemeClr w14:val="tx1"/>
                  </w14:solidFill>
                </w14:textFill>
              </w:rPr>
              <w:t>智能微型图书馆</w:t>
            </w:r>
            <w:r>
              <w:rPr>
                <w:rFonts w:hint="eastAsia" w:ascii="仿宋" w:hAnsi="仿宋" w:eastAsia="仿宋" w:cs="仿宋"/>
                <w:b/>
                <w:bCs/>
                <w:color w:val="000000" w:themeColor="text1"/>
                <w:sz w:val="24"/>
                <w:szCs w:val="24"/>
                <w:lang w:eastAsia="zh-CN" w:bidi="ar"/>
                <w14:textFill>
                  <w14:solidFill>
                    <w14:schemeClr w14:val="tx1"/>
                  </w14:solidFill>
                </w14:textFill>
              </w:rPr>
              <w:t>（</w:t>
            </w:r>
            <w:r>
              <w:rPr>
                <w:rFonts w:hint="eastAsia" w:ascii="仿宋" w:hAnsi="仿宋" w:eastAsia="仿宋" w:cs="仿宋"/>
                <w:b/>
                <w:bCs/>
                <w:color w:val="000000" w:themeColor="text1"/>
                <w:sz w:val="24"/>
                <w:szCs w:val="24"/>
                <w:lang w:val="en-US" w:eastAsia="zh-CN" w:bidi="ar"/>
                <w14:textFill>
                  <w14:solidFill>
                    <w14:schemeClr w14:val="tx1"/>
                  </w14:solidFill>
                </w14:textFill>
              </w:rPr>
              <w:t>本项目核心产品</w:t>
            </w:r>
            <w:r>
              <w:rPr>
                <w:rFonts w:hint="eastAsia" w:ascii="仿宋" w:hAnsi="仿宋" w:eastAsia="仿宋" w:cs="仿宋"/>
                <w:b/>
                <w:bCs/>
                <w:color w:val="000000" w:themeColor="text1"/>
                <w:sz w:val="24"/>
                <w:szCs w:val="24"/>
                <w:lang w:eastAsia="zh-CN" w:bidi="ar"/>
                <w14:textFill>
                  <w14:solidFill>
                    <w14:schemeClr w14:val="tx1"/>
                  </w14:solidFill>
                </w14:textFill>
              </w:rPr>
              <w:t>）</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0F55">
            <w:pPr>
              <w:jc w:val="left"/>
              <w:textAlignment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1、主机配置：要求采用21.5英寸及以上，安卓电容多点触控一体机，CPU：RK3288，运行内存：2G；</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2、整机规格：长≥1567mm，高≥1833mm，宽≥471mm，占地面积≤1m²；</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3、连接方式：要求采用有线连接、WiFi连接和蓝牙连接多种连接方式；</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4、材料结构：整机要求采用冷扎板机身；内置POP灯箱，可定制灯箱内容；</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5、开门方式：要求采用带轨道手自一体双向钢化玻璃推拉门；</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6、电机保护：开关门过程中任意阶段手动干预，手动停止、反向或加速开关门动作，电机不受影响，可有效保护电机；</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7、关门自检：电动门具有关门自检功能，当自动关门被手动中断后，软件自检，一段时间后重试自动关门；</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8、维护方式：要求设备前开、后开、顶部开门设计，方便拆机维护；</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9、藏书容量：天线板扫描范围藏书容量≥325册（图书尺寸按厚度1cm，高度28cm计）；</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10、天线板：单层≥6个天线板，单个天线板面积≥680cm²，平均间距≤175mm；</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11、工作频率：13.56MHz；</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12、红外对射：共5路，可快速定位藏书层架信息，提高盘点效率；</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13、读卡器：支持ISO/IEC14443标准或ISO15693/ISO18000-3标准读者证；</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14、摄像头：内置摄像头，可在借还书过程进行拍照或录像，供工作人员随时查阅；外置监控摄像头，方便进行环境监控；</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15、电动摄像头：要求摄像头自带电动调节功能，仅通过软件操作即可实现摄像头上下角度调节，完成人脸识别认证，方便不同身高用户使用</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16、阅读评测：要求设备具备阅读评测功能，读者可在设备上进行阅读能力测评，获得自己的阅读综合能力值与评语，其中综合能力值包含但不限于：信息检索、信息运用、创新求异、赏析评鉴、解释推理等五个维度，系统会根据评测结果对该读者进行精准的书籍推荐</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17、心理测评：要求设备具备心理评测功能，读者可在设备上通过多种心理测试，定位读者心理状态</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18、全科知识竞赛：要求设备具备全科知识答题竞赛功能，读者可在设备上进行全科知识答题竞赛，题目包含但不限于语文、数学、地理、历史等多个学科；检验读者知识储备，提升阅读乐趣；</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19、百科答题：要求设备具备百科答题功能，读者登录设备后可进行百科答题，答题过程中系统提供视听感受，具备不同音效区分正确与错误答案；题目涉及文学、法律、历史、戏剧等领域。检验读者知识储备，提升阅读乐趣</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20、书单推荐：要求设备支持多种类书单图书推荐，包括新书推荐、热门推荐、必读书目、主席书单、课外必读等多种书单类型，各类型书单中推荐的图书均与主题呼应，各不相同，满足不同读者需求</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21、信息展示：要求具有LED显示屏（长≥925mm，宽≥90mm）作为信息发布模块，可通过前端设置和后台推送两种方式发布信息；</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22、人脸识别：不依托第三方平台，自建人脸数据库，可在局域网环境下实现人脸识别功能；支持后台批量导入，小程序自主上传和登录设备拍照绑定等多种方式注册人脸信息；</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23、自助借阅：系统要求能做到图书自动识别下架（外借），以及归还图书的再次自动识别上架（归还），从而实现图书的自循环借还服务，即可做到自助上下架；</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24、读者隐私保护：具有选择保护读者隐私功能，可隐藏读者部分信息；</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25、读者信息管理：系统要求具有个人信息查看，包括：借阅量、在借书刊、超期书刊、借阅期限、人脸注册信息等，支持续借、预借和密码修改等功能；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26、图书查询：读者可快速查询文献信息，显示文献在当前设备和馆内陈列的位置信息，方便借阅；</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27、排行信息：系统要求具有图书借阅排行和读者借阅排行功能，可本地查看排行信息。借阅排行信息包含月度排行、年度排行。图书排行界面下，读者可查询借阅率较高图书的所在位置，并完成该图书预约。</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28、智能语音：图形化、语音化的人机交互友好操作界面，提供简体中文语言的视觉交互提示、搜索和查询功能；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29、设备个性化设置：系统要求具有设备远程更换LOGO，自定义登录界面语音和自定义屏保等功能，屏保文件须采用基础图片和视频格式；</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30、固件升级：系统要求具有通过后台远程批量控制设备和固件的统一升级功能；</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31、智能灯光控制：系统要求具有照明自适应功能，进入屏保同时降低屏幕亮度，书仓照明自动关闭；借还书时提高屏幕亮度，书仓照明自动开启。</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32、人脸检测屏保：设备在默认屏保状态下，摄像头检测到屏幕前有人脸时，即可自动退出屏保，无需使用者手动退出屏保。</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33、智能屏保：设备具有智能屏保功能，管理员可将屏保设置为图片轮播、视频轮播、每日一句、诗词、十万个为什么、童话故事、中华成语词典、资治通鉴等,可在设置界面选择多种模式。</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34、诗词屏保：要求系统具备诗词屏保功能，设备进入屏保后，可自动进行诗词内容滚动播放，诗词类型包括：诗经、楚辞、金刚经、道德经、唐诗、宋词、元曲等；</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1)、诗词提供作者、诗词文、评析、注释、译文等内容，其中评析功能深入浅出地对诗词的写作背景、表达手法、意境阐述等方面进行讲解；</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2）、诗词提供视听感受，精美国风风格界面、中华传统乐曲编制的背景音乐，让读者身临其境地感受诗意；</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3）、诗词内容展示便捷友好，支持上下划动实现内容展示，左右划动实现手动翻页；</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b/>
                <w:bCs/>
                <w:color w:val="000000" w:themeColor="text1"/>
                <w:sz w:val="24"/>
                <w:szCs w:val="24"/>
                <w:lang w:bidi="ar"/>
                <w14:textFill>
                  <w14:solidFill>
                    <w14:schemeClr w14:val="tx1"/>
                  </w14:solidFill>
                </w14:textFill>
              </w:rPr>
              <w:t>（须提供带有CMA标志的第三方检测报告复印件并加盖</w:t>
            </w:r>
            <w:r>
              <w:rPr>
                <w:rFonts w:hint="eastAsia" w:ascii="仿宋" w:hAnsi="仿宋" w:eastAsia="仿宋" w:cs="仿宋"/>
                <w:b/>
                <w:bCs/>
                <w:color w:val="000000" w:themeColor="text1"/>
                <w:sz w:val="24"/>
                <w:szCs w:val="24"/>
                <w:lang w:eastAsia="zh-CN" w:bidi="ar"/>
                <w14:textFill>
                  <w14:solidFill>
                    <w14:schemeClr w14:val="tx1"/>
                  </w14:solidFill>
                </w14:textFill>
              </w:rPr>
              <w:t>供应商</w:t>
            </w:r>
            <w:r>
              <w:rPr>
                <w:rFonts w:hint="eastAsia" w:ascii="仿宋" w:hAnsi="仿宋" w:eastAsia="仿宋" w:cs="仿宋"/>
                <w:b/>
                <w:bCs/>
                <w:color w:val="000000" w:themeColor="text1"/>
                <w:sz w:val="24"/>
                <w:szCs w:val="24"/>
                <w:lang w:bidi="ar"/>
                <w14:textFill>
                  <w14:solidFill>
                    <w14:schemeClr w14:val="tx1"/>
                  </w14:solidFill>
                </w14:textFill>
              </w:rPr>
              <w:t>公章）</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35、设备定位：要求具有对设备地理位置定位功能，可在地图上手动选点定位，定位信息将自动同步到图书管理平台，方便管理员定位和设备管理；</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bidi="ar"/>
                <w14:textFill>
                  <w14:solidFill>
                    <w14:schemeClr w14:val="tx1"/>
                  </w14:solidFill>
                </w14:textFill>
              </w:rPr>
              <w:t>36、标签解析：要求支持28560规范图书标签解析， 支持多种数据自适应压缩算法。</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F975">
            <w:pPr>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套</w:t>
            </w:r>
          </w:p>
        </w:tc>
        <w:tc>
          <w:tcPr>
            <w:tcW w:w="409" w:type="pct"/>
            <w:tcBorders>
              <w:top w:val="single" w:color="000000" w:sz="4" w:space="0"/>
              <w:left w:val="single" w:color="000000" w:sz="4" w:space="0"/>
              <w:bottom w:val="single" w:color="000000" w:sz="4" w:space="0"/>
              <w:right w:val="single" w:color="000000" w:sz="4" w:space="0"/>
            </w:tcBorders>
            <w:vAlign w:val="center"/>
          </w:tcPr>
          <w:p w14:paraId="79E7E593">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w:t>
            </w:r>
          </w:p>
        </w:tc>
      </w:tr>
      <w:tr w14:paraId="5F91B967">
        <w:tblPrEx>
          <w:tblCellMar>
            <w:top w:w="0" w:type="dxa"/>
            <w:left w:w="108" w:type="dxa"/>
            <w:bottom w:w="0" w:type="dxa"/>
            <w:right w:w="108" w:type="dxa"/>
          </w:tblCellMar>
        </w:tblPrEx>
        <w:trPr>
          <w:trHeight w:val="656"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B778">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15</w:t>
            </w:r>
          </w:p>
        </w:tc>
        <w:tc>
          <w:tcPr>
            <w:tcW w:w="587" w:type="pct"/>
            <w:tcBorders>
              <w:top w:val="single" w:color="000000" w:sz="4" w:space="0"/>
              <w:left w:val="single" w:color="000000" w:sz="4" w:space="0"/>
              <w:bottom w:val="single" w:color="000000" w:sz="4" w:space="0"/>
              <w:right w:val="single" w:color="000000" w:sz="4" w:space="0"/>
            </w:tcBorders>
            <w:vAlign w:val="center"/>
          </w:tcPr>
          <w:p w14:paraId="25B551A5">
            <w:pPr>
              <w:jc w:val="center"/>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系统集成服务</w:t>
            </w:r>
          </w:p>
        </w:tc>
        <w:tc>
          <w:tcPr>
            <w:tcW w:w="3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6E79">
            <w:pPr>
              <w:jc w:val="left"/>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本套系统的运输，安装调试、系统集成服务</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0F64">
            <w:pPr>
              <w:jc w:val="center"/>
              <w:textAlignment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项</w:t>
            </w:r>
          </w:p>
        </w:tc>
        <w:tc>
          <w:tcPr>
            <w:tcW w:w="409" w:type="pct"/>
            <w:tcBorders>
              <w:top w:val="single" w:color="000000" w:sz="4" w:space="0"/>
              <w:left w:val="single" w:color="000000" w:sz="4" w:space="0"/>
              <w:bottom w:val="single" w:color="000000" w:sz="4" w:space="0"/>
              <w:right w:val="single" w:color="000000" w:sz="4" w:space="0"/>
            </w:tcBorders>
            <w:vAlign w:val="center"/>
          </w:tcPr>
          <w:p w14:paraId="531A5DD9">
            <w:pPr>
              <w:jc w:val="center"/>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w:t>
            </w:r>
          </w:p>
        </w:tc>
      </w:tr>
    </w:tbl>
    <w:p w14:paraId="2215A76F">
      <w:pPr>
        <w:pStyle w:val="10"/>
        <w:ind w:firstLine="480"/>
        <w:jc w:val="both"/>
        <w:outlineLvl w:val="2"/>
        <w:rPr>
          <w:rFonts w:ascii="仿宋_GB2312" w:hAnsi="仿宋_GB2312" w:eastAsia="仿宋_GB2312" w:cs="仿宋_GB2312"/>
          <w:b/>
          <w:sz w:val="28"/>
        </w:rPr>
      </w:pPr>
    </w:p>
    <w:p w14:paraId="32450589">
      <w:pPr>
        <w:pStyle w:val="10"/>
        <w:ind w:firstLine="480"/>
        <w:jc w:val="both"/>
        <w:outlineLvl w:val="2"/>
      </w:pPr>
      <w:r>
        <w:rPr>
          <w:rFonts w:ascii="仿宋_GB2312" w:hAnsi="仿宋_GB2312" w:eastAsia="仿宋_GB2312" w:cs="仿宋_GB2312"/>
          <w:b/>
          <w:sz w:val="28"/>
        </w:rPr>
        <w:t>三、商务条件（以下内容不允许负偏离）</w:t>
      </w:r>
    </w:p>
    <w:p w14:paraId="24A4B7B6">
      <w:pPr>
        <w:pStyle w:val="10"/>
        <w:jc w:val="left"/>
      </w:pPr>
      <w:r>
        <w:rPr>
          <w:rFonts w:ascii="仿宋_GB2312" w:hAnsi="仿宋_GB2312" w:eastAsia="仿宋_GB2312" w:cs="仿宋_GB2312"/>
        </w:rPr>
        <w:t>采购包1：</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0"/>
        <w:gridCol w:w="700"/>
        <w:gridCol w:w="1174"/>
        <w:gridCol w:w="7578"/>
      </w:tblGrid>
      <w:tr w14:paraId="17F38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6" w:type="pct"/>
          </w:tcPr>
          <w:p w14:paraId="632AFFD9">
            <w:pPr>
              <w:pStyle w:val="10"/>
            </w:pPr>
            <w:r>
              <w:rPr>
                <w:rFonts w:ascii="仿宋_GB2312" w:hAnsi="仿宋_GB2312" w:eastAsia="仿宋_GB2312" w:cs="仿宋_GB2312"/>
              </w:rPr>
              <w:t>序号</w:t>
            </w:r>
          </w:p>
        </w:tc>
        <w:tc>
          <w:tcPr>
            <w:tcW w:w="351" w:type="pct"/>
          </w:tcPr>
          <w:p w14:paraId="436DC2F7">
            <w:pPr>
              <w:pStyle w:val="10"/>
            </w:pPr>
            <w:r>
              <w:rPr>
                <w:rFonts w:ascii="仿宋_GB2312" w:hAnsi="仿宋_GB2312" w:eastAsia="仿宋_GB2312" w:cs="仿宋_GB2312"/>
              </w:rPr>
              <w:t>参数性质</w:t>
            </w:r>
          </w:p>
        </w:tc>
        <w:tc>
          <w:tcPr>
            <w:tcW w:w="589" w:type="pct"/>
          </w:tcPr>
          <w:p w14:paraId="4201727E">
            <w:pPr>
              <w:pStyle w:val="10"/>
            </w:pPr>
            <w:r>
              <w:rPr>
                <w:rFonts w:ascii="仿宋_GB2312" w:hAnsi="仿宋_GB2312" w:eastAsia="仿宋_GB2312" w:cs="仿宋_GB2312"/>
              </w:rPr>
              <w:t>类型</w:t>
            </w:r>
          </w:p>
        </w:tc>
        <w:tc>
          <w:tcPr>
            <w:tcW w:w="3802" w:type="pct"/>
          </w:tcPr>
          <w:p w14:paraId="53EE7541">
            <w:pPr>
              <w:pStyle w:val="10"/>
            </w:pPr>
            <w:r>
              <w:rPr>
                <w:rFonts w:ascii="仿宋_GB2312" w:hAnsi="仿宋_GB2312" w:eastAsia="仿宋_GB2312" w:cs="仿宋_GB2312"/>
              </w:rPr>
              <w:t>要求</w:t>
            </w:r>
          </w:p>
        </w:tc>
      </w:tr>
      <w:tr w14:paraId="37167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6" w:type="pct"/>
          </w:tcPr>
          <w:p w14:paraId="0453CE43">
            <w:pPr>
              <w:pStyle w:val="10"/>
            </w:pPr>
            <w:r>
              <w:rPr>
                <w:rFonts w:ascii="仿宋_GB2312" w:hAnsi="仿宋_GB2312" w:eastAsia="仿宋_GB2312" w:cs="仿宋_GB2312"/>
              </w:rPr>
              <w:t>1</w:t>
            </w:r>
          </w:p>
        </w:tc>
        <w:tc>
          <w:tcPr>
            <w:tcW w:w="351" w:type="pct"/>
          </w:tcPr>
          <w:p w14:paraId="245B7F6E">
            <w:pPr>
              <w:pStyle w:val="10"/>
            </w:pPr>
            <w:r>
              <w:rPr>
                <w:rFonts w:ascii="仿宋_GB2312" w:hAnsi="仿宋_GB2312" w:eastAsia="仿宋_GB2312" w:cs="仿宋_GB2312"/>
              </w:rPr>
              <w:t>★</w:t>
            </w:r>
          </w:p>
        </w:tc>
        <w:tc>
          <w:tcPr>
            <w:tcW w:w="589" w:type="pct"/>
          </w:tcPr>
          <w:p w14:paraId="21FBE38B">
            <w:pPr>
              <w:pStyle w:val="10"/>
            </w:pPr>
            <w:r>
              <w:rPr>
                <w:rFonts w:ascii="仿宋_GB2312" w:hAnsi="仿宋_GB2312" w:eastAsia="仿宋_GB2312" w:cs="仿宋_GB2312"/>
              </w:rPr>
              <w:t>交货时间</w:t>
            </w:r>
          </w:p>
        </w:tc>
        <w:tc>
          <w:tcPr>
            <w:tcW w:w="3802" w:type="pct"/>
          </w:tcPr>
          <w:p w14:paraId="4ECAE9BB">
            <w:pPr>
              <w:pStyle w:val="10"/>
            </w:pPr>
            <w:r>
              <w:rPr>
                <w:rFonts w:ascii="仿宋_GB2312" w:hAnsi="仿宋_GB2312" w:eastAsia="仿宋_GB2312" w:cs="仿宋_GB2312"/>
              </w:rPr>
              <w:t>自签订合同后，采购人通知发货之日起</w:t>
            </w:r>
            <w:r>
              <w:rPr>
                <w:rFonts w:hint="eastAsia" w:ascii="仿宋_GB2312" w:hAnsi="仿宋_GB2312" w:eastAsia="仿宋_GB2312" w:cs="仿宋_GB2312"/>
                <w:lang w:val="en-US" w:eastAsia="zh-CN"/>
              </w:rPr>
              <w:t>15</w:t>
            </w:r>
            <w:r>
              <w:rPr>
                <w:rFonts w:ascii="仿宋_GB2312" w:hAnsi="仿宋_GB2312" w:eastAsia="仿宋_GB2312" w:cs="仿宋_GB2312"/>
              </w:rPr>
              <w:t>天内完成交货</w:t>
            </w:r>
          </w:p>
        </w:tc>
      </w:tr>
      <w:tr w14:paraId="37C50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6" w:type="pct"/>
          </w:tcPr>
          <w:p w14:paraId="4819E43B">
            <w:pPr>
              <w:pStyle w:val="10"/>
            </w:pPr>
            <w:r>
              <w:rPr>
                <w:rFonts w:ascii="仿宋_GB2312" w:hAnsi="仿宋_GB2312" w:eastAsia="仿宋_GB2312" w:cs="仿宋_GB2312"/>
              </w:rPr>
              <w:t>2</w:t>
            </w:r>
          </w:p>
        </w:tc>
        <w:tc>
          <w:tcPr>
            <w:tcW w:w="351" w:type="pct"/>
          </w:tcPr>
          <w:p w14:paraId="0853E538">
            <w:pPr>
              <w:pStyle w:val="10"/>
            </w:pPr>
            <w:r>
              <w:rPr>
                <w:rFonts w:ascii="仿宋_GB2312" w:hAnsi="仿宋_GB2312" w:eastAsia="仿宋_GB2312" w:cs="仿宋_GB2312"/>
              </w:rPr>
              <w:t>★</w:t>
            </w:r>
          </w:p>
        </w:tc>
        <w:tc>
          <w:tcPr>
            <w:tcW w:w="589" w:type="pct"/>
          </w:tcPr>
          <w:p w14:paraId="16A55C4B">
            <w:pPr>
              <w:pStyle w:val="10"/>
            </w:pPr>
            <w:r>
              <w:rPr>
                <w:rFonts w:ascii="仿宋_GB2312" w:hAnsi="仿宋_GB2312" w:eastAsia="仿宋_GB2312" w:cs="仿宋_GB2312"/>
              </w:rPr>
              <w:t>交货地点</w:t>
            </w:r>
          </w:p>
        </w:tc>
        <w:tc>
          <w:tcPr>
            <w:tcW w:w="3802" w:type="pct"/>
          </w:tcPr>
          <w:p w14:paraId="252F6E8E">
            <w:pPr>
              <w:pStyle w:val="10"/>
            </w:pPr>
            <w:r>
              <w:rPr>
                <w:rFonts w:ascii="仿宋_GB2312" w:hAnsi="仿宋_GB2312" w:eastAsia="仿宋_GB2312" w:cs="仿宋_GB2312"/>
              </w:rPr>
              <w:t>采购人指定地点</w:t>
            </w:r>
          </w:p>
        </w:tc>
      </w:tr>
      <w:tr w14:paraId="47BE2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6" w:type="pct"/>
          </w:tcPr>
          <w:p w14:paraId="6A304F41">
            <w:pPr>
              <w:pStyle w:val="10"/>
            </w:pPr>
            <w:r>
              <w:rPr>
                <w:rFonts w:ascii="仿宋_GB2312" w:hAnsi="仿宋_GB2312" w:eastAsia="仿宋_GB2312" w:cs="仿宋_GB2312"/>
              </w:rPr>
              <w:t>3</w:t>
            </w:r>
          </w:p>
        </w:tc>
        <w:tc>
          <w:tcPr>
            <w:tcW w:w="351" w:type="pct"/>
          </w:tcPr>
          <w:p w14:paraId="632E87A9">
            <w:pPr>
              <w:pStyle w:val="10"/>
            </w:pPr>
            <w:r>
              <w:rPr>
                <w:rFonts w:ascii="仿宋_GB2312" w:hAnsi="仿宋_GB2312" w:eastAsia="仿宋_GB2312" w:cs="仿宋_GB2312"/>
              </w:rPr>
              <w:t>★</w:t>
            </w:r>
          </w:p>
        </w:tc>
        <w:tc>
          <w:tcPr>
            <w:tcW w:w="589" w:type="pct"/>
          </w:tcPr>
          <w:p w14:paraId="1F917443">
            <w:pPr>
              <w:pStyle w:val="10"/>
            </w:pPr>
            <w:r>
              <w:rPr>
                <w:rFonts w:ascii="仿宋_GB2312" w:hAnsi="仿宋_GB2312" w:eastAsia="仿宋_GB2312" w:cs="仿宋_GB2312"/>
              </w:rPr>
              <w:t>交货条件</w:t>
            </w:r>
          </w:p>
        </w:tc>
        <w:tc>
          <w:tcPr>
            <w:tcW w:w="3802" w:type="pct"/>
          </w:tcPr>
          <w:p w14:paraId="0B90B944">
            <w:pPr>
              <w:pStyle w:val="10"/>
            </w:pPr>
            <w:r>
              <w:rPr>
                <w:rFonts w:ascii="仿宋_GB2312" w:hAnsi="仿宋_GB2312" w:eastAsia="仿宋_GB2312" w:cs="仿宋_GB2312"/>
              </w:rPr>
              <w:t>验收合格</w:t>
            </w:r>
          </w:p>
        </w:tc>
      </w:tr>
      <w:tr w14:paraId="6E805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6" w:type="pct"/>
          </w:tcPr>
          <w:p w14:paraId="68FB65E7">
            <w:pPr>
              <w:pStyle w:val="10"/>
            </w:pPr>
            <w:r>
              <w:rPr>
                <w:rFonts w:ascii="仿宋_GB2312" w:hAnsi="仿宋_GB2312" w:eastAsia="仿宋_GB2312" w:cs="仿宋_GB2312"/>
              </w:rPr>
              <w:t>4</w:t>
            </w:r>
          </w:p>
        </w:tc>
        <w:tc>
          <w:tcPr>
            <w:tcW w:w="351" w:type="pct"/>
          </w:tcPr>
          <w:p w14:paraId="00D5E514">
            <w:pPr>
              <w:pStyle w:val="10"/>
            </w:pPr>
            <w:r>
              <w:rPr>
                <w:rFonts w:ascii="仿宋_GB2312" w:hAnsi="仿宋_GB2312" w:eastAsia="仿宋_GB2312" w:cs="仿宋_GB2312"/>
              </w:rPr>
              <w:t>★</w:t>
            </w:r>
          </w:p>
        </w:tc>
        <w:tc>
          <w:tcPr>
            <w:tcW w:w="589" w:type="pct"/>
          </w:tcPr>
          <w:p w14:paraId="24D429E6">
            <w:pPr>
              <w:pStyle w:val="10"/>
            </w:pPr>
            <w:r>
              <w:rPr>
                <w:rFonts w:ascii="仿宋_GB2312" w:hAnsi="仿宋_GB2312" w:eastAsia="仿宋_GB2312" w:cs="仿宋_GB2312"/>
              </w:rPr>
              <w:t>是否邀请投标人验收</w:t>
            </w:r>
          </w:p>
        </w:tc>
        <w:tc>
          <w:tcPr>
            <w:tcW w:w="3802" w:type="pct"/>
          </w:tcPr>
          <w:p w14:paraId="2138ADF2">
            <w:pPr>
              <w:pStyle w:val="10"/>
            </w:pPr>
            <w:r>
              <w:rPr>
                <w:rFonts w:ascii="仿宋_GB2312" w:hAnsi="仿宋_GB2312" w:eastAsia="仿宋_GB2312" w:cs="仿宋_GB2312"/>
              </w:rPr>
              <w:t>不邀请投标人验收</w:t>
            </w:r>
          </w:p>
        </w:tc>
      </w:tr>
      <w:tr w14:paraId="0B37E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6" w:type="pct"/>
          </w:tcPr>
          <w:p w14:paraId="117DD4D6">
            <w:pPr>
              <w:pStyle w:val="10"/>
            </w:pPr>
            <w:r>
              <w:rPr>
                <w:rFonts w:ascii="仿宋_GB2312" w:hAnsi="仿宋_GB2312" w:eastAsia="仿宋_GB2312" w:cs="仿宋_GB2312"/>
              </w:rPr>
              <w:t>5</w:t>
            </w:r>
          </w:p>
        </w:tc>
        <w:tc>
          <w:tcPr>
            <w:tcW w:w="351" w:type="pct"/>
          </w:tcPr>
          <w:p w14:paraId="3CB3D54D">
            <w:pPr>
              <w:pStyle w:val="10"/>
            </w:pPr>
            <w:r>
              <w:rPr>
                <w:rFonts w:ascii="仿宋_GB2312" w:hAnsi="仿宋_GB2312" w:eastAsia="仿宋_GB2312" w:cs="仿宋_GB2312"/>
              </w:rPr>
              <w:t>★</w:t>
            </w:r>
          </w:p>
        </w:tc>
        <w:tc>
          <w:tcPr>
            <w:tcW w:w="589" w:type="pct"/>
          </w:tcPr>
          <w:p w14:paraId="4FE77BBC">
            <w:pPr>
              <w:pStyle w:val="10"/>
            </w:pPr>
            <w:r>
              <w:rPr>
                <w:rFonts w:ascii="仿宋_GB2312" w:hAnsi="仿宋_GB2312" w:eastAsia="仿宋_GB2312" w:cs="仿宋_GB2312"/>
              </w:rPr>
              <w:t>履约验收方式</w:t>
            </w:r>
          </w:p>
        </w:tc>
        <w:tc>
          <w:tcPr>
            <w:tcW w:w="3802" w:type="pct"/>
          </w:tcPr>
          <w:p w14:paraId="7FE52278">
            <w:pPr>
              <w:pStyle w:val="10"/>
            </w:pPr>
            <w:r>
              <w:rPr>
                <w:rFonts w:ascii="仿宋_GB2312" w:hAnsi="仿宋_GB2312" w:eastAsia="仿宋_GB2312" w:cs="仿宋_GB2312"/>
              </w:rPr>
              <w:t>1、期次1，说明：按照询价通知书及合同要求进行验收</w:t>
            </w:r>
          </w:p>
        </w:tc>
      </w:tr>
      <w:tr w14:paraId="73379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6" w:type="pct"/>
          </w:tcPr>
          <w:p w14:paraId="57D925A0">
            <w:pPr>
              <w:pStyle w:val="10"/>
            </w:pPr>
            <w:r>
              <w:rPr>
                <w:rFonts w:ascii="仿宋_GB2312" w:hAnsi="仿宋_GB2312" w:eastAsia="仿宋_GB2312" w:cs="仿宋_GB2312"/>
              </w:rPr>
              <w:t>6</w:t>
            </w:r>
          </w:p>
        </w:tc>
        <w:tc>
          <w:tcPr>
            <w:tcW w:w="351" w:type="pct"/>
          </w:tcPr>
          <w:p w14:paraId="1639983D">
            <w:pPr>
              <w:pStyle w:val="10"/>
            </w:pPr>
            <w:r>
              <w:rPr>
                <w:rFonts w:ascii="仿宋_GB2312" w:hAnsi="仿宋_GB2312" w:eastAsia="仿宋_GB2312" w:cs="仿宋_GB2312"/>
              </w:rPr>
              <w:t>★</w:t>
            </w:r>
          </w:p>
        </w:tc>
        <w:tc>
          <w:tcPr>
            <w:tcW w:w="589" w:type="pct"/>
          </w:tcPr>
          <w:p w14:paraId="7440BA40">
            <w:pPr>
              <w:pStyle w:val="10"/>
            </w:pPr>
            <w:r>
              <w:rPr>
                <w:rFonts w:ascii="仿宋_GB2312" w:hAnsi="仿宋_GB2312" w:eastAsia="仿宋_GB2312" w:cs="仿宋_GB2312"/>
              </w:rPr>
              <w:t>合同支付方式</w:t>
            </w:r>
          </w:p>
        </w:tc>
        <w:tc>
          <w:tcPr>
            <w:tcW w:w="3802" w:type="pct"/>
          </w:tcPr>
          <w:p w14:paraId="29361F39">
            <w:pPr>
              <w:pStyle w:val="10"/>
            </w:pPr>
            <w:r>
              <w:rPr>
                <w:rFonts w:ascii="仿宋_GB2312" w:hAnsi="仿宋_GB2312" w:eastAsia="仿宋_GB2312" w:cs="仿宋_GB2312"/>
              </w:rPr>
              <w:t>1、</w:t>
            </w:r>
            <w:r>
              <w:rPr>
                <w:rFonts w:hint="eastAsia" w:ascii="仿宋_GB2312" w:hAnsi="仿宋_GB2312" w:eastAsia="仿宋_GB2312" w:cs="仿宋_GB2312"/>
                <w:lang w:eastAsia="zh-CN"/>
              </w:rPr>
              <w:t>付款条件：</w:t>
            </w:r>
            <w:r>
              <w:rPr>
                <w:rFonts w:hint="eastAsia" w:ascii="仿宋_GB2312" w:hAnsi="仿宋_GB2312" w:eastAsia="仿宋_GB2312" w:cs="仿宋_GB2312"/>
                <w:b w:val="0"/>
              </w:rPr>
              <w:t>经采购人验收合格后，持有正式发票和采购人所开具的验收合格证明</w:t>
            </w:r>
            <w:r>
              <w:rPr>
                <w:rFonts w:hint="eastAsia" w:ascii="仿宋_GB2312" w:hAnsi="仿宋_GB2312" w:eastAsia="仿宋_GB2312" w:cs="仿宋_GB2312"/>
                <w:lang w:eastAsia="zh-CN"/>
              </w:rPr>
              <w:t>，采购人成交供应商支付货款</w:t>
            </w:r>
            <w:r>
              <w:rPr>
                <w:rFonts w:ascii="仿宋_GB2312" w:hAnsi="仿宋_GB2312" w:eastAsia="仿宋_GB2312" w:cs="仿宋_GB2312"/>
              </w:rPr>
              <w:t>，达到付款条件起30日内，支付合同总金额的100.00%</w:t>
            </w:r>
          </w:p>
        </w:tc>
      </w:tr>
      <w:tr w14:paraId="21E5C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6" w:type="pct"/>
          </w:tcPr>
          <w:p w14:paraId="6FC0FCB5">
            <w:pPr>
              <w:pStyle w:val="10"/>
            </w:pPr>
            <w:r>
              <w:rPr>
                <w:rFonts w:ascii="仿宋_GB2312" w:hAnsi="仿宋_GB2312" w:eastAsia="仿宋_GB2312" w:cs="仿宋_GB2312"/>
              </w:rPr>
              <w:t>7</w:t>
            </w:r>
          </w:p>
        </w:tc>
        <w:tc>
          <w:tcPr>
            <w:tcW w:w="351" w:type="pct"/>
          </w:tcPr>
          <w:p w14:paraId="67764052">
            <w:pPr>
              <w:pStyle w:val="10"/>
            </w:pPr>
            <w:r>
              <w:rPr>
                <w:rFonts w:ascii="仿宋_GB2312" w:hAnsi="仿宋_GB2312" w:eastAsia="仿宋_GB2312" w:cs="仿宋_GB2312"/>
              </w:rPr>
              <w:t>★</w:t>
            </w:r>
          </w:p>
        </w:tc>
        <w:tc>
          <w:tcPr>
            <w:tcW w:w="589" w:type="pct"/>
          </w:tcPr>
          <w:p w14:paraId="5A61CA65">
            <w:pPr>
              <w:pStyle w:val="10"/>
            </w:pPr>
            <w:r>
              <w:rPr>
                <w:rFonts w:ascii="仿宋_GB2312" w:hAnsi="仿宋_GB2312" w:eastAsia="仿宋_GB2312" w:cs="仿宋_GB2312"/>
              </w:rPr>
              <w:t>履约保证金</w:t>
            </w:r>
          </w:p>
        </w:tc>
        <w:tc>
          <w:tcPr>
            <w:tcW w:w="3802" w:type="pct"/>
          </w:tcPr>
          <w:p w14:paraId="3F03BFD5">
            <w:pPr>
              <w:pStyle w:val="10"/>
            </w:pPr>
            <w:r>
              <w:rPr>
                <w:rFonts w:ascii="仿宋_GB2312" w:hAnsi="仿宋_GB2312" w:eastAsia="仿宋_GB2312" w:cs="仿宋_GB2312"/>
              </w:rPr>
              <w:t>不缴纳</w:t>
            </w:r>
          </w:p>
        </w:tc>
      </w:tr>
    </w:tbl>
    <w:p w14:paraId="5ECD763D">
      <w:pPr>
        <w:pStyle w:val="10"/>
        <w:jc w:val="left"/>
      </w:pPr>
      <w:r>
        <w:rPr>
          <w:rFonts w:ascii="仿宋_GB2312" w:hAnsi="仿宋_GB2312" w:eastAsia="仿宋_GB2312" w:cs="仿宋_GB2312"/>
        </w:rPr>
        <w:t>其他商务要求：</w:t>
      </w:r>
    </w:p>
    <w:p w14:paraId="7565E2BE">
      <w:pPr>
        <w:pStyle w:val="6"/>
        <w:widowControl/>
        <w:spacing w:before="0" w:beforeAutospacing="0" w:after="0" w:afterAutospacing="0" w:line="360" w:lineRule="auto"/>
        <w:ind w:firstLine="480"/>
        <w:rPr>
          <w:rFonts w:hint="eastAsia" w:ascii="仿宋" w:hAnsi="仿宋" w:eastAsia="仿宋" w:cs="仿宋"/>
          <w:color w:val="000000"/>
          <w:sz w:val="24"/>
          <w:szCs w:val="24"/>
        </w:rPr>
      </w:pPr>
      <w:r>
        <w:rPr>
          <w:rStyle w:val="9"/>
          <w:rFonts w:hint="eastAsia" w:ascii="仿宋" w:hAnsi="仿宋" w:eastAsia="仿宋" w:cs="仿宋"/>
          <w:color w:val="000000"/>
          <w:lang w:val="en-US" w:eastAsia="zh-CN"/>
        </w:rPr>
        <w:t>8</w:t>
      </w:r>
      <w:r>
        <w:rPr>
          <w:rStyle w:val="9"/>
          <w:rFonts w:hint="eastAsia" w:ascii="仿宋" w:hAnsi="仿宋" w:eastAsia="仿宋" w:cs="仿宋"/>
          <w:color w:val="000000"/>
        </w:rPr>
        <w:t>、安装和调试</w:t>
      </w:r>
    </w:p>
    <w:p w14:paraId="76424E8E">
      <w:pPr>
        <w:pStyle w:val="6"/>
        <w:widowControl/>
        <w:spacing w:before="0" w:beforeAutospacing="0" w:after="0" w:afterAutospacing="0" w:line="360" w:lineRule="auto"/>
        <w:ind w:firstLine="480"/>
        <w:rPr>
          <w:rFonts w:hint="eastAsia" w:ascii="仿宋" w:hAnsi="仿宋" w:eastAsia="仿宋" w:cs="仿宋"/>
          <w:color w:val="000000"/>
          <w:sz w:val="24"/>
          <w:szCs w:val="24"/>
        </w:rPr>
      </w:pPr>
      <w:r>
        <w:rPr>
          <w:rFonts w:hint="eastAsia" w:ascii="仿宋" w:hAnsi="仿宋" w:eastAsia="仿宋" w:cs="仿宋"/>
          <w:color w:val="000000"/>
          <w:lang w:val="en-US" w:eastAsia="zh-CN"/>
        </w:rPr>
        <w:t>8</w:t>
      </w:r>
      <w:r>
        <w:rPr>
          <w:rFonts w:hint="eastAsia" w:ascii="仿宋" w:hAnsi="仿宋" w:eastAsia="仿宋" w:cs="仿宋"/>
          <w:color w:val="000000"/>
        </w:rPr>
        <w:t>.1由</w:t>
      </w:r>
      <w:r>
        <w:rPr>
          <w:rFonts w:hint="eastAsia" w:ascii="仿宋" w:hAnsi="仿宋" w:eastAsia="仿宋" w:cs="仿宋"/>
          <w:color w:val="000000"/>
          <w:lang w:eastAsia="zh-CN"/>
        </w:rPr>
        <w:t>成交供应商</w:t>
      </w:r>
      <w:r>
        <w:rPr>
          <w:rFonts w:hint="eastAsia" w:ascii="仿宋" w:hAnsi="仿宋" w:eastAsia="仿宋" w:cs="仿宋"/>
          <w:color w:val="000000"/>
        </w:rPr>
        <w:t>负责将货物按签订合同的具体数量、具体地点运送到最终目的地，</w:t>
      </w:r>
      <w:r>
        <w:rPr>
          <w:rFonts w:hint="eastAsia" w:ascii="仿宋" w:hAnsi="仿宋" w:eastAsia="仿宋" w:cs="仿宋"/>
          <w:color w:val="000000"/>
          <w:lang w:eastAsia="zh-CN"/>
        </w:rPr>
        <w:t>成交供应商</w:t>
      </w:r>
      <w:r>
        <w:rPr>
          <w:rFonts w:hint="eastAsia" w:ascii="仿宋" w:hAnsi="仿宋" w:eastAsia="仿宋" w:cs="仿宋"/>
          <w:color w:val="000000"/>
        </w:rPr>
        <w:t>负责派技术人员到现场进行安装、调试，并负责调试至验收合格交付采购人使用。</w:t>
      </w:r>
      <w:r>
        <w:rPr>
          <w:rFonts w:hint="eastAsia" w:ascii="仿宋" w:hAnsi="仿宋" w:eastAsia="仿宋" w:cs="仿宋"/>
          <w:color w:val="000000"/>
          <w:lang w:eastAsia="zh-CN"/>
        </w:rPr>
        <w:t>成交供应商</w:t>
      </w:r>
      <w:r>
        <w:rPr>
          <w:rFonts w:hint="eastAsia" w:ascii="仿宋" w:hAnsi="仿宋" w:eastAsia="仿宋" w:cs="仿宋"/>
          <w:color w:val="000000"/>
        </w:rPr>
        <w:t>应在货物运抵现场一周前，向采购人提供安装调试及运行的进度计划表。</w:t>
      </w:r>
    </w:p>
    <w:p w14:paraId="082ABE60">
      <w:pPr>
        <w:pStyle w:val="6"/>
        <w:widowControl/>
        <w:spacing w:before="0" w:beforeAutospacing="0" w:after="0" w:afterAutospacing="0" w:line="360" w:lineRule="auto"/>
        <w:ind w:firstLine="480"/>
        <w:rPr>
          <w:rFonts w:hint="eastAsia" w:ascii="仿宋" w:hAnsi="仿宋" w:eastAsia="仿宋" w:cs="仿宋"/>
          <w:color w:val="000000"/>
          <w:sz w:val="24"/>
          <w:szCs w:val="24"/>
        </w:rPr>
      </w:pPr>
      <w:r>
        <w:rPr>
          <w:rFonts w:hint="eastAsia" w:ascii="仿宋" w:hAnsi="仿宋" w:eastAsia="仿宋" w:cs="仿宋"/>
          <w:color w:val="000000"/>
          <w:lang w:val="en-US" w:eastAsia="zh-CN"/>
        </w:rPr>
        <w:t>8</w:t>
      </w:r>
      <w:r>
        <w:rPr>
          <w:rFonts w:hint="eastAsia" w:ascii="仿宋" w:hAnsi="仿宋" w:eastAsia="仿宋" w:cs="仿宋"/>
          <w:color w:val="000000"/>
        </w:rPr>
        <w:t>.2货物包装必须与运输方式相适应，包装方式的确定及包装费用均由</w:t>
      </w:r>
      <w:r>
        <w:rPr>
          <w:rFonts w:hint="eastAsia" w:ascii="仿宋" w:hAnsi="仿宋" w:eastAsia="仿宋" w:cs="仿宋"/>
          <w:color w:val="000000"/>
          <w:lang w:eastAsia="zh-CN"/>
        </w:rPr>
        <w:t>成交供应商</w:t>
      </w:r>
      <w:r>
        <w:rPr>
          <w:rFonts w:hint="eastAsia" w:ascii="仿宋" w:hAnsi="仿宋" w:eastAsia="仿宋" w:cs="仿宋"/>
          <w:color w:val="000000"/>
        </w:rPr>
        <w:t>负责；由于不适当的包装而造成货物在运输过程中有任何损坏由</w:t>
      </w:r>
      <w:r>
        <w:rPr>
          <w:rFonts w:hint="eastAsia" w:ascii="仿宋" w:hAnsi="仿宋" w:eastAsia="仿宋" w:cs="仿宋"/>
          <w:color w:val="000000"/>
          <w:lang w:eastAsia="zh-CN"/>
        </w:rPr>
        <w:t>成交供应商</w:t>
      </w:r>
      <w:r>
        <w:rPr>
          <w:rFonts w:hint="eastAsia" w:ascii="仿宋" w:hAnsi="仿宋" w:eastAsia="仿宋" w:cs="仿宋"/>
          <w:color w:val="000000"/>
        </w:rPr>
        <w:t>负责。</w:t>
      </w:r>
    </w:p>
    <w:p w14:paraId="1906F46F">
      <w:pPr>
        <w:pStyle w:val="6"/>
        <w:widowControl/>
        <w:spacing w:before="0" w:beforeAutospacing="0" w:after="0" w:afterAutospacing="0" w:line="360" w:lineRule="auto"/>
        <w:ind w:firstLine="480"/>
        <w:rPr>
          <w:rFonts w:hint="eastAsia" w:ascii="仿宋" w:hAnsi="仿宋" w:eastAsia="仿宋" w:cs="仿宋"/>
          <w:color w:val="000000"/>
          <w:sz w:val="24"/>
          <w:szCs w:val="24"/>
        </w:rPr>
      </w:pPr>
      <w:r>
        <w:rPr>
          <w:rFonts w:hint="eastAsia" w:ascii="仿宋" w:hAnsi="仿宋" w:eastAsia="仿宋" w:cs="仿宋"/>
          <w:color w:val="000000"/>
          <w:lang w:val="en-US" w:eastAsia="zh-CN"/>
        </w:rPr>
        <w:t>8</w:t>
      </w:r>
      <w:r>
        <w:rPr>
          <w:rFonts w:hint="eastAsia" w:ascii="仿宋" w:hAnsi="仿宋" w:eastAsia="仿宋" w:cs="仿宋"/>
          <w:color w:val="000000"/>
        </w:rPr>
        <w:t>.3货物包装应足以承受整个过程中的运输、转运、储存等，充分考虑到运输途中的各种情况（如暴露于恶劣气候等）和当地的气候特点，以及露天存放的需要。</w:t>
      </w:r>
    </w:p>
    <w:p w14:paraId="4C71F7AC">
      <w:pPr>
        <w:pStyle w:val="6"/>
        <w:widowControl/>
        <w:spacing w:before="0" w:beforeAutospacing="0" w:after="0" w:afterAutospacing="0" w:line="360" w:lineRule="auto"/>
        <w:ind w:firstLine="480"/>
        <w:rPr>
          <w:rFonts w:hint="eastAsia" w:ascii="仿宋" w:hAnsi="仿宋" w:eastAsia="仿宋" w:cs="仿宋"/>
          <w:color w:val="000000"/>
          <w:sz w:val="24"/>
          <w:szCs w:val="24"/>
        </w:rPr>
      </w:pPr>
      <w:r>
        <w:rPr>
          <w:rFonts w:hint="eastAsia" w:ascii="仿宋" w:hAnsi="仿宋" w:eastAsia="仿宋" w:cs="仿宋"/>
          <w:color w:val="000000"/>
          <w:lang w:val="en-US" w:eastAsia="zh-CN"/>
        </w:rPr>
        <w:t>8</w:t>
      </w:r>
      <w:r>
        <w:rPr>
          <w:rFonts w:hint="eastAsia" w:ascii="仿宋" w:hAnsi="仿宋" w:eastAsia="仿宋" w:cs="仿宋"/>
          <w:color w:val="000000"/>
        </w:rPr>
        <w:t>.4</w:t>
      </w:r>
      <w:r>
        <w:rPr>
          <w:rFonts w:hint="eastAsia" w:ascii="仿宋" w:hAnsi="仿宋" w:eastAsia="仿宋" w:cs="仿宋"/>
          <w:color w:val="000000"/>
          <w:lang w:eastAsia="zh-CN"/>
        </w:rPr>
        <w:t>成交供应商</w:t>
      </w:r>
      <w:r>
        <w:rPr>
          <w:rFonts w:hint="eastAsia" w:ascii="仿宋" w:hAnsi="仿宋" w:eastAsia="仿宋" w:cs="仿宋"/>
          <w:color w:val="000000"/>
        </w:rPr>
        <w:t>负责组织专业技术人员进行货物调试时，采购人应提供必须的基本条件和专人配合，保证各项安装工作顺利进行。</w:t>
      </w:r>
    </w:p>
    <w:p w14:paraId="4BCCAB14">
      <w:pPr>
        <w:pStyle w:val="6"/>
        <w:widowControl/>
        <w:spacing w:before="0" w:beforeAutospacing="0" w:after="0" w:afterAutospacing="0" w:line="360" w:lineRule="auto"/>
        <w:ind w:left="525"/>
        <w:rPr>
          <w:rFonts w:hint="eastAsia" w:ascii="仿宋" w:hAnsi="仿宋" w:eastAsia="仿宋" w:cs="仿宋"/>
          <w:color w:val="000000"/>
          <w:sz w:val="24"/>
          <w:szCs w:val="24"/>
        </w:rPr>
      </w:pPr>
      <w:r>
        <w:rPr>
          <w:rStyle w:val="9"/>
          <w:rFonts w:hint="eastAsia" w:ascii="仿宋" w:hAnsi="仿宋" w:eastAsia="仿宋" w:cs="仿宋"/>
          <w:color w:val="000000"/>
          <w:lang w:val="en-US" w:eastAsia="zh-CN"/>
        </w:rPr>
        <w:t>9</w:t>
      </w:r>
      <w:r>
        <w:rPr>
          <w:rStyle w:val="9"/>
          <w:rFonts w:hint="eastAsia" w:ascii="仿宋" w:hAnsi="仿宋" w:eastAsia="仿宋" w:cs="仿宋"/>
          <w:color w:val="000000"/>
        </w:rPr>
        <w:t>、技术资料要求</w:t>
      </w:r>
    </w:p>
    <w:p w14:paraId="7EBE7524">
      <w:pPr>
        <w:pStyle w:val="6"/>
        <w:widowControl/>
        <w:spacing w:before="0" w:beforeAutospacing="0" w:after="0" w:afterAutospacing="0" w:line="360" w:lineRule="auto"/>
        <w:ind w:left="525"/>
        <w:rPr>
          <w:rFonts w:hint="eastAsia" w:ascii="仿宋" w:hAnsi="仿宋" w:eastAsia="仿宋" w:cs="仿宋"/>
          <w:color w:val="000000"/>
          <w:sz w:val="24"/>
          <w:szCs w:val="24"/>
        </w:rPr>
      </w:pPr>
      <w:r>
        <w:rPr>
          <w:rFonts w:hint="eastAsia" w:ascii="仿宋" w:hAnsi="仿宋" w:eastAsia="仿宋" w:cs="仿宋"/>
          <w:color w:val="000000"/>
          <w:lang w:val="en-US" w:eastAsia="zh-CN"/>
        </w:rPr>
        <w:t>9</w:t>
      </w:r>
      <w:r>
        <w:rPr>
          <w:rFonts w:hint="eastAsia" w:ascii="仿宋" w:hAnsi="仿宋" w:eastAsia="仿宋" w:cs="仿宋"/>
          <w:color w:val="000000"/>
        </w:rPr>
        <w:t>.1</w:t>
      </w:r>
      <w:r>
        <w:rPr>
          <w:rFonts w:hint="eastAsia" w:ascii="仿宋" w:hAnsi="仿宋" w:eastAsia="仿宋" w:cs="仿宋"/>
          <w:color w:val="000000"/>
          <w:lang w:eastAsia="zh-CN"/>
        </w:rPr>
        <w:t>成交供应商</w:t>
      </w:r>
      <w:r>
        <w:rPr>
          <w:rFonts w:hint="eastAsia" w:ascii="仿宋" w:hAnsi="仿宋" w:eastAsia="仿宋" w:cs="仿宋"/>
          <w:color w:val="000000"/>
        </w:rPr>
        <w:t>应向采购人提供以下目录的产品资料一套，其费用应包括在报价价格中。</w:t>
      </w:r>
    </w:p>
    <w:p w14:paraId="5296FF64">
      <w:pPr>
        <w:pStyle w:val="6"/>
        <w:widowControl/>
        <w:spacing w:before="0" w:beforeAutospacing="0" w:after="0" w:afterAutospacing="0" w:line="360" w:lineRule="auto"/>
        <w:ind w:left="525"/>
        <w:rPr>
          <w:rFonts w:hint="eastAsia" w:ascii="仿宋" w:hAnsi="仿宋" w:eastAsia="仿宋" w:cs="仿宋"/>
          <w:color w:val="000000"/>
          <w:sz w:val="24"/>
          <w:szCs w:val="24"/>
        </w:rPr>
      </w:pPr>
      <w:r>
        <w:rPr>
          <w:rFonts w:hint="eastAsia" w:ascii="仿宋" w:hAnsi="仿宋" w:eastAsia="仿宋" w:cs="仿宋"/>
          <w:color w:val="000000"/>
        </w:rPr>
        <w:t>(1) 产品验收标准</w:t>
      </w:r>
    </w:p>
    <w:p w14:paraId="74AFA7FD">
      <w:pPr>
        <w:pStyle w:val="6"/>
        <w:widowControl/>
        <w:spacing w:before="0" w:beforeAutospacing="0" w:after="0" w:afterAutospacing="0" w:line="360" w:lineRule="auto"/>
        <w:ind w:left="525"/>
        <w:rPr>
          <w:rFonts w:hint="eastAsia" w:ascii="仿宋" w:hAnsi="仿宋" w:eastAsia="仿宋" w:cs="仿宋"/>
          <w:color w:val="000000"/>
          <w:sz w:val="24"/>
          <w:szCs w:val="24"/>
        </w:rPr>
      </w:pPr>
      <w:r>
        <w:rPr>
          <w:rFonts w:hint="eastAsia" w:ascii="仿宋" w:hAnsi="仿宋" w:eastAsia="仿宋" w:cs="仿宋"/>
          <w:color w:val="000000"/>
        </w:rPr>
        <w:t>(2) 产品技术说明书</w:t>
      </w:r>
    </w:p>
    <w:p w14:paraId="7465811D">
      <w:pPr>
        <w:pStyle w:val="6"/>
        <w:widowControl/>
        <w:spacing w:before="0" w:beforeAutospacing="0" w:after="0" w:afterAutospacing="0" w:line="360" w:lineRule="auto"/>
        <w:ind w:left="525"/>
        <w:rPr>
          <w:rFonts w:hint="eastAsia" w:ascii="仿宋" w:hAnsi="仿宋" w:eastAsia="仿宋" w:cs="仿宋"/>
          <w:color w:val="000000"/>
          <w:sz w:val="24"/>
          <w:szCs w:val="24"/>
        </w:rPr>
      </w:pPr>
      <w:r>
        <w:rPr>
          <w:rFonts w:hint="eastAsia" w:ascii="仿宋" w:hAnsi="仿宋" w:eastAsia="仿宋" w:cs="仿宋"/>
          <w:color w:val="000000"/>
        </w:rPr>
        <w:t>(3) 使用说明书</w:t>
      </w:r>
    </w:p>
    <w:p w14:paraId="5FA52AE9">
      <w:pPr>
        <w:pStyle w:val="6"/>
        <w:widowControl/>
        <w:spacing w:before="0" w:beforeAutospacing="0" w:after="0" w:afterAutospacing="0" w:line="360" w:lineRule="auto"/>
        <w:ind w:left="525"/>
        <w:rPr>
          <w:rFonts w:hint="eastAsia" w:ascii="仿宋" w:hAnsi="仿宋" w:eastAsia="仿宋" w:cs="仿宋"/>
          <w:color w:val="000000"/>
          <w:sz w:val="24"/>
          <w:szCs w:val="24"/>
        </w:rPr>
      </w:pPr>
      <w:r>
        <w:rPr>
          <w:rFonts w:hint="eastAsia" w:ascii="仿宋" w:hAnsi="仿宋" w:eastAsia="仿宋" w:cs="仿宋"/>
          <w:color w:val="000000"/>
        </w:rPr>
        <w:t>(4) 零部件目录(若有)</w:t>
      </w:r>
    </w:p>
    <w:p w14:paraId="45467B22">
      <w:pPr>
        <w:pStyle w:val="6"/>
        <w:widowControl/>
        <w:spacing w:before="0" w:beforeAutospacing="0" w:after="0" w:afterAutospacing="0" w:line="360" w:lineRule="auto"/>
        <w:ind w:left="525"/>
        <w:rPr>
          <w:rFonts w:hint="eastAsia" w:ascii="仿宋" w:hAnsi="仿宋" w:eastAsia="仿宋" w:cs="仿宋"/>
          <w:color w:val="000000"/>
          <w:sz w:val="24"/>
          <w:szCs w:val="24"/>
        </w:rPr>
      </w:pPr>
      <w:r>
        <w:rPr>
          <w:rFonts w:hint="eastAsia" w:ascii="仿宋" w:hAnsi="仿宋" w:eastAsia="仿宋" w:cs="仿宋"/>
          <w:color w:val="000000"/>
        </w:rPr>
        <w:t>(5) 备品备件、损件清单(若有)</w:t>
      </w:r>
    </w:p>
    <w:p w14:paraId="59A5BFD2">
      <w:pPr>
        <w:pStyle w:val="6"/>
        <w:widowControl/>
        <w:spacing w:before="0" w:beforeAutospacing="0" w:after="0" w:afterAutospacing="0" w:line="360" w:lineRule="auto"/>
        <w:ind w:left="525"/>
        <w:rPr>
          <w:rFonts w:hint="eastAsia" w:ascii="仿宋" w:hAnsi="仿宋" w:eastAsia="仿宋" w:cs="仿宋"/>
          <w:color w:val="000000"/>
          <w:sz w:val="24"/>
          <w:szCs w:val="24"/>
        </w:rPr>
      </w:pPr>
      <w:r>
        <w:rPr>
          <w:rFonts w:hint="eastAsia" w:ascii="仿宋" w:hAnsi="仿宋" w:eastAsia="仿宋" w:cs="仿宋"/>
          <w:color w:val="000000"/>
        </w:rPr>
        <w:t>(6) 安装、维修及操作手册(若有)</w:t>
      </w:r>
    </w:p>
    <w:p w14:paraId="1A9DE2A8">
      <w:pPr>
        <w:pStyle w:val="6"/>
        <w:widowControl/>
        <w:spacing w:before="0" w:beforeAutospacing="0" w:after="0" w:afterAutospacing="0" w:line="360" w:lineRule="auto"/>
        <w:ind w:left="525"/>
        <w:rPr>
          <w:rFonts w:hint="eastAsia" w:ascii="仿宋" w:hAnsi="仿宋" w:eastAsia="仿宋" w:cs="仿宋"/>
          <w:color w:val="000000"/>
          <w:sz w:val="24"/>
          <w:szCs w:val="24"/>
        </w:rPr>
      </w:pPr>
      <w:r>
        <w:rPr>
          <w:rFonts w:hint="eastAsia" w:ascii="仿宋" w:hAnsi="仿宋" w:eastAsia="仿宋" w:cs="仿宋"/>
          <w:color w:val="000000"/>
        </w:rPr>
        <w:t>(7) 合同中要求的其它文件资料</w:t>
      </w:r>
    </w:p>
    <w:p w14:paraId="585AB13F">
      <w:pPr>
        <w:pStyle w:val="6"/>
        <w:widowControl/>
        <w:spacing w:before="0" w:beforeAutospacing="0" w:after="0" w:afterAutospacing="0" w:line="360" w:lineRule="auto"/>
        <w:ind w:firstLine="600"/>
        <w:rPr>
          <w:rFonts w:hint="eastAsia" w:ascii="仿宋" w:hAnsi="仿宋" w:eastAsia="仿宋" w:cs="仿宋"/>
          <w:color w:val="000000"/>
          <w:sz w:val="24"/>
          <w:szCs w:val="24"/>
        </w:rPr>
      </w:pPr>
      <w:r>
        <w:rPr>
          <w:rFonts w:hint="eastAsia" w:ascii="仿宋" w:hAnsi="仿宋" w:eastAsia="仿宋" w:cs="仿宋"/>
          <w:color w:val="000000"/>
          <w:lang w:val="en-US" w:eastAsia="zh-CN"/>
        </w:rPr>
        <w:t>9</w:t>
      </w:r>
      <w:r>
        <w:rPr>
          <w:rFonts w:hint="eastAsia" w:ascii="仿宋" w:hAnsi="仿宋" w:eastAsia="仿宋" w:cs="仿宋"/>
          <w:color w:val="000000"/>
        </w:rPr>
        <w:t>.2</w:t>
      </w:r>
      <w:r>
        <w:rPr>
          <w:rFonts w:hint="eastAsia" w:ascii="仿宋" w:hAnsi="仿宋" w:eastAsia="仿宋" w:cs="仿宋"/>
          <w:color w:val="000000"/>
          <w:lang w:eastAsia="zh-CN"/>
        </w:rPr>
        <w:t>成交供应商</w:t>
      </w:r>
      <w:r>
        <w:rPr>
          <w:rFonts w:hint="eastAsia" w:ascii="仿宋" w:hAnsi="仿宋" w:eastAsia="仿宋" w:cs="仿宋"/>
          <w:color w:val="000000"/>
        </w:rPr>
        <w:t>需向采购人提供完整的技术资料壹套。各项指标和参数应符合验收标准，采购人有权委托中国 有资格单位或机构对设备性能、精度进行校核。</w:t>
      </w:r>
    </w:p>
    <w:p w14:paraId="3303CC40">
      <w:pPr>
        <w:pStyle w:val="6"/>
        <w:widowControl/>
        <w:spacing w:before="0" w:beforeAutospacing="0" w:after="0" w:afterAutospacing="0" w:line="360" w:lineRule="auto"/>
        <w:ind w:left="525"/>
        <w:rPr>
          <w:rFonts w:hint="eastAsia" w:ascii="仿宋" w:hAnsi="仿宋" w:eastAsia="仿宋" w:cs="仿宋"/>
          <w:color w:val="000000"/>
          <w:sz w:val="24"/>
          <w:szCs w:val="24"/>
        </w:rPr>
      </w:pPr>
      <w:r>
        <w:rPr>
          <w:rFonts w:hint="eastAsia" w:ascii="仿宋" w:hAnsi="仿宋" w:eastAsia="仿宋" w:cs="仿宋"/>
          <w:color w:val="000000"/>
          <w:lang w:val="en-US" w:eastAsia="zh-CN"/>
        </w:rPr>
        <w:t>9</w:t>
      </w:r>
      <w:r>
        <w:rPr>
          <w:rFonts w:hint="eastAsia" w:ascii="仿宋" w:hAnsi="仿宋" w:eastAsia="仿宋" w:cs="仿宋"/>
          <w:color w:val="000000"/>
        </w:rPr>
        <w:t>.3备品备件及专用工具</w:t>
      </w:r>
    </w:p>
    <w:p w14:paraId="71B324A1">
      <w:pPr>
        <w:pStyle w:val="6"/>
        <w:widowControl/>
        <w:spacing w:before="0" w:beforeAutospacing="0" w:after="0" w:afterAutospacing="0" w:line="360" w:lineRule="auto"/>
        <w:ind w:firstLine="360"/>
        <w:rPr>
          <w:rFonts w:hint="eastAsia" w:ascii="仿宋" w:hAnsi="仿宋" w:eastAsia="仿宋" w:cs="仿宋"/>
          <w:color w:val="000000"/>
          <w:sz w:val="24"/>
          <w:szCs w:val="24"/>
        </w:rPr>
      </w:pPr>
      <w:r>
        <w:rPr>
          <w:rFonts w:hint="eastAsia" w:ascii="仿宋" w:hAnsi="仿宋" w:eastAsia="仿宋" w:cs="仿宋"/>
          <w:color w:val="000000"/>
        </w:rPr>
        <w:t>（1）</w:t>
      </w:r>
      <w:r>
        <w:rPr>
          <w:rFonts w:hint="eastAsia" w:ascii="仿宋" w:hAnsi="仿宋" w:eastAsia="仿宋" w:cs="仿宋"/>
          <w:color w:val="000000"/>
          <w:lang w:eastAsia="zh-CN"/>
        </w:rPr>
        <w:t>成交供应商</w:t>
      </w:r>
      <w:r>
        <w:rPr>
          <w:rFonts w:hint="eastAsia" w:ascii="仿宋" w:hAnsi="仿宋" w:eastAsia="仿宋" w:cs="仿宋"/>
          <w:color w:val="000000"/>
        </w:rPr>
        <w:t>向采购人提供安装和维修所需特殊专用的工具、备件及清单和中文说明书，其费用包括在投标价格内。</w:t>
      </w:r>
    </w:p>
    <w:p w14:paraId="285BEAFA">
      <w:pPr>
        <w:pStyle w:val="6"/>
        <w:widowControl/>
        <w:spacing w:before="0" w:beforeAutospacing="0" w:after="0" w:afterAutospacing="0" w:line="360" w:lineRule="auto"/>
        <w:ind w:firstLine="360"/>
        <w:rPr>
          <w:rFonts w:hint="eastAsia" w:ascii="仿宋" w:hAnsi="仿宋" w:eastAsia="仿宋" w:cs="仿宋"/>
          <w:color w:val="000000"/>
        </w:rPr>
      </w:pPr>
      <w:r>
        <w:rPr>
          <w:rFonts w:hint="eastAsia" w:ascii="仿宋" w:hAnsi="仿宋" w:eastAsia="仿宋" w:cs="仿宋"/>
          <w:color w:val="000000"/>
        </w:rPr>
        <w:t>（2）</w:t>
      </w:r>
      <w:r>
        <w:rPr>
          <w:rFonts w:hint="eastAsia" w:ascii="仿宋" w:hAnsi="仿宋" w:eastAsia="仿宋" w:cs="仿宋"/>
          <w:color w:val="000000"/>
          <w:lang w:eastAsia="zh-CN"/>
        </w:rPr>
        <w:t>成交供应商</w:t>
      </w:r>
      <w:r>
        <w:rPr>
          <w:rFonts w:hint="eastAsia" w:ascii="仿宋" w:hAnsi="仿宋" w:eastAsia="仿宋" w:cs="仿宋"/>
          <w:color w:val="000000"/>
        </w:rPr>
        <w:t>应结合验收检验的不同阶段，免费对采购人使用人员的操作、维修、保养等方面进行现场培训，直至能独立操作；培训所需费用由</w:t>
      </w:r>
      <w:r>
        <w:rPr>
          <w:rFonts w:hint="eastAsia" w:ascii="仿宋" w:hAnsi="仿宋" w:eastAsia="仿宋" w:cs="仿宋"/>
          <w:color w:val="000000"/>
          <w:lang w:eastAsia="zh-CN"/>
        </w:rPr>
        <w:t>成交供应商</w:t>
      </w:r>
      <w:r>
        <w:rPr>
          <w:rFonts w:hint="eastAsia" w:ascii="仿宋" w:hAnsi="仿宋" w:eastAsia="仿宋" w:cs="仿宋"/>
          <w:color w:val="000000"/>
        </w:rPr>
        <w:t>承担。</w:t>
      </w:r>
    </w:p>
    <w:p w14:paraId="7B7D7060">
      <w:pPr>
        <w:pStyle w:val="6"/>
        <w:widowControl/>
        <w:spacing w:before="0" w:beforeAutospacing="0" w:after="0" w:afterAutospacing="0" w:line="360" w:lineRule="auto"/>
        <w:ind w:left="525"/>
        <w:rPr>
          <w:rStyle w:val="9"/>
          <w:rFonts w:hint="eastAsia" w:ascii="仿宋" w:hAnsi="仿宋" w:eastAsia="仿宋" w:cs="仿宋"/>
          <w:color w:val="000000"/>
        </w:rPr>
      </w:pPr>
      <w:r>
        <w:rPr>
          <w:rStyle w:val="9"/>
          <w:rFonts w:hint="eastAsia" w:ascii="仿宋" w:hAnsi="仿宋" w:eastAsia="仿宋" w:cs="仿宋"/>
          <w:color w:val="000000"/>
          <w:lang w:val="en-US" w:eastAsia="zh-CN"/>
        </w:rPr>
        <w:t>10</w:t>
      </w:r>
      <w:r>
        <w:rPr>
          <w:rStyle w:val="9"/>
          <w:rFonts w:hint="eastAsia" w:ascii="仿宋" w:hAnsi="仿宋" w:eastAsia="仿宋" w:cs="仿宋"/>
          <w:color w:val="000000"/>
        </w:rPr>
        <w:t>、技术培训</w:t>
      </w:r>
    </w:p>
    <w:p w14:paraId="6AA09A31">
      <w:pPr>
        <w:pStyle w:val="6"/>
        <w:widowControl/>
        <w:spacing w:before="0" w:beforeAutospacing="0" w:after="0" w:afterAutospacing="0" w:line="360" w:lineRule="auto"/>
        <w:ind w:firstLine="360"/>
        <w:rPr>
          <w:rFonts w:hint="eastAsia" w:ascii="仿宋" w:hAnsi="仿宋" w:eastAsia="仿宋" w:cs="仿宋"/>
          <w:color w:val="000000"/>
        </w:rPr>
      </w:pPr>
      <w:r>
        <w:rPr>
          <w:rFonts w:hint="eastAsia" w:ascii="仿宋" w:hAnsi="仿宋" w:eastAsia="仿宋" w:cs="仿宋"/>
          <w:color w:val="000000"/>
        </w:rPr>
        <w:t>（1）为了保证</w:t>
      </w:r>
      <w:r>
        <w:rPr>
          <w:rFonts w:hint="eastAsia" w:ascii="仿宋" w:hAnsi="仿宋" w:eastAsia="仿宋" w:cs="仿宋"/>
          <w:color w:val="000000"/>
          <w:lang w:val="en-US" w:eastAsia="zh-CN"/>
        </w:rPr>
        <w:t>供应商</w:t>
      </w:r>
      <w:r>
        <w:rPr>
          <w:rFonts w:hint="eastAsia" w:ascii="仿宋" w:hAnsi="仿宋" w:eastAsia="仿宋" w:cs="仿宋"/>
          <w:color w:val="000000"/>
        </w:rPr>
        <w:t>所提供的货物能良好运行，要求</w:t>
      </w:r>
      <w:r>
        <w:rPr>
          <w:rFonts w:hint="eastAsia" w:ascii="仿宋" w:hAnsi="仿宋" w:eastAsia="仿宋" w:cs="仿宋"/>
          <w:color w:val="000000"/>
          <w:lang w:val="en-US" w:eastAsia="zh-CN"/>
        </w:rPr>
        <w:t>供应商</w:t>
      </w:r>
      <w:r>
        <w:rPr>
          <w:rFonts w:hint="eastAsia" w:ascii="仿宋" w:hAnsi="仿宋" w:eastAsia="仿宋" w:cs="仿宋"/>
          <w:color w:val="000000"/>
        </w:rPr>
        <w:t>负责提供货物操作、功能、维护等方面的培训。</w:t>
      </w:r>
    </w:p>
    <w:p w14:paraId="1608163A">
      <w:pPr>
        <w:pStyle w:val="6"/>
        <w:widowControl/>
        <w:spacing w:before="0" w:beforeAutospacing="0" w:after="0" w:afterAutospacing="0" w:line="360" w:lineRule="auto"/>
        <w:ind w:firstLine="360"/>
        <w:rPr>
          <w:rFonts w:hint="eastAsia" w:ascii="仿宋" w:hAnsi="仿宋" w:eastAsia="仿宋" w:cs="仿宋"/>
          <w:color w:val="000000"/>
        </w:rPr>
      </w:pPr>
      <w:r>
        <w:rPr>
          <w:rFonts w:hint="eastAsia" w:ascii="仿宋" w:hAnsi="仿宋" w:eastAsia="仿宋" w:cs="仿宋"/>
          <w:color w:val="000000"/>
        </w:rPr>
        <w:t>（2）</w:t>
      </w:r>
      <w:r>
        <w:rPr>
          <w:rFonts w:hint="eastAsia" w:ascii="仿宋" w:hAnsi="仿宋" w:eastAsia="仿宋" w:cs="仿宋"/>
          <w:color w:val="000000"/>
          <w:lang w:val="en-US" w:eastAsia="zh-CN"/>
        </w:rPr>
        <w:t>供应商</w:t>
      </w:r>
      <w:r>
        <w:rPr>
          <w:rFonts w:hint="eastAsia" w:ascii="仿宋" w:hAnsi="仿宋" w:eastAsia="仿宋" w:cs="仿宋"/>
          <w:color w:val="000000"/>
        </w:rPr>
        <w:t>应免费为采购方培训相关技术人员。</w:t>
      </w:r>
    </w:p>
    <w:p w14:paraId="0704E772">
      <w:pPr>
        <w:pStyle w:val="6"/>
        <w:widowControl/>
        <w:spacing w:before="0" w:beforeAutospacing="0" w:after="0" w:afterAutospacing="0" w:line="360" w:lineRule="auto"/>
        <w:ind w:firstLine="360"/>
        <w:rPr>
          <w:rFonts w:hint="eastAsia" w:ascii="仿宋" w:hAnsi="仿宋" w:eastAsia="仿宋" w:cs="仿宋"/>
          <w:color w:val="000000"/>
        </w:rPr>
      </w:pPr>
      <w:r>
        <w:rPr>
          <w:rFonts w:hint="eastAsia" w:ascii="仿宋" w:hAnsi="仿宋" w:eastAsia="仿宋" w:cs="仿宋"/>
          <w:color w:val="000000"/>
        </w:rPr>
        <w:t>（3）提供免费上门培训讲师及技术工程师上门服务</w:t>
      </w:r>
    </w:p>
    <w:p w14:paraId="5622F310">
      <w:pPr>
        <w:pStyle w:val="6"/>
        <w:widowControl/>
        <w:spacing w:before="0" w:beforeAutospacing="0" w:after="0" w:afterAutospacing="0" w:line="360" w:lineRule="auto"/>
        <w:ind w:left="525"/>
        <w:rPr>
          <w:rFonts w:hint="eastAsia" w:ascii="仿宋" w:hAnsi="仿宋" w:eastAsia="仿宋" w:cs="仿宋"/>
          <w:color w:val="000000"/>
          <w:sz w:val="24"/>
          <w:szCs w:val="24"/>
        </w:rPr>
      </w:pPr>
      <w:r>
        <w:rPr>
          <w:rStyle w:val="9"/>
          <w:rFonts w:hint="eastAsia" w:ascii="仿宋" w:hAnsi="仿宋" w:eastAsia="仿宋" w:cs="仿宋"/>
          <w:color w:val="000000"/>
        </w:rPr>
        <w:t>1</w:t>
      </w:r>
      <w:r>
        <w:rPr>
          <w:rStyle w:val="9"/>
          <w:rFonts w:hint="eastAsia" w:ascii="仿宋" w:hAnsi="仿宋" w:eastAsia="仿宋" w:cs="仿宋"/>
          <w:color w:val="000000"/>
          <w:lang w:val="en-US" w:eastAsia="zh-CN"/>
        </w:rPr>
        <w:t>1</w:t>
      </w:r>
      <w:r>
        <w:rPr>
          <w:rStyle w:val="9"/>
          <w:rFonts w:hint="eastAsia" w:ascii="仿宋" w:hAnsi="仿宋" w:eastAsia="仿宋" w:cs="仿宋"/>
          <w:color w:val="000000"/>
        </w:rPr>
        <w:t>、质保期和售后服务要求</w:t>
      </w:r>
    </w:p>
    <w:p w14:paraId="6176E406">
      <w:pPr>
        <w:pStyle w:val="6"/>
        <w:widowControl/>
        <w:spacing w:before="0" w:beforeAutospacing="0" w:after="0" w:afterAutospacing="0" w:line="360" w:lineRule="auto"/>
        <w:ind w:firstLine="480"/>
        <w:rPr>
          <w:rFonts w:hint="eastAsia" w:ascii="仿宋" w:hAnsi="仿宋" w:eastAsia="仿宋" w:cs="仿宋"/>
          <w:b/>
          <w:bCs/>
          <w:color w:val="000000"/>
          <w:sz w:val="24"/>
          <w:szCs w:val="24"/>
        </w:rPr>
      </w:pPr>
      <w:r>
        <w:rPr>
          <w:rFonts w:hint="eastAsia" w:ascii="仿宋" w:hAnsi="仿宋" w:eastAsia="仿宋" w:cs="仿宋"/>
          <w:b/>
          <w:bCs/>
          <w:color w:val="000000"/>
        </w:rPr>
        <w:t>1</w:t>
      </w:r>
      <w:r>
        <w:rPr>
          <w:rFonts w:hint="eastAsia" w:ascii="仿宋" w:hAnsi="仿宋" w:eastAsia="仿宋" w:cs="仿宋"/>
          <w:b/>
          <w:bCs/>
          <w:color w:val="000000"/>
          <w:lang w:val="en-US" w:eastAsia="zh-CN"/>
        </w:rPr>
        <w:t>1</w:t>
      </w:r>
      <w:r>
        <w:rPr>
          <w:rFonts w:hint="eastAsia" w:ascii="仿宋" w:hAnsi="仿宋" w:eastAsia="仿宋" w:cs="仿宋"/>
          <w:b/>
          <w:bCs/>
          <w:color w:val="000000"/>
        </w:rPr>
        <w:t>.1</w:t>
      </w:r>
      <w:r>
        <w:rPr>
          <w:rFonts w:hint="eastAsia" w:ascii="仿宋" w:hAnsi="仿宋" w:eastAsia="仿宋" w:cs="仿宋"/>
          <w:b/>
          <w:bCs/>
          <w:color w:val="000000"/>
          <w:lang w:eastAsia="zh-CN"/>
        </w:rPr>
        <w:t>成交供应商</w:t>
      </w:r>
      <w:r>
        <w:rPr>
          <w:rFonts w:hint="eastAsia" w:ascii="仿宋" w:hAnsi="仿宋" w:eastAsia="仿宋" w:cs="仿宋"/>
          <w:b/>
          <w:bCs/>
          <w:color w:val="000000"/>
        </w:rPr>
        <w:t>须按</w:t>
      </w:r>
      <w:r>
        <w:rPr>
          <w:rFonts w:hint="eastAsia" w:ascii="仿宋" w:hAnsi="仿宋" w:eastAsia="仿宋" w:cs="仿宋"/>
          <w:b/>
          <w:bCs/>
          <w:color w:val="000000"/>
          <w:lang w:val="en-US" w:eastAsia="zh-CN"/>
        </w:rPr>
        <w:t>询价通知书</w:t>
      </w:r>
      <w:r>
        <w:rPr>
          <w:rFonts w:hint="eastAsia" w:ascii="仿宋" w:hAnsi="仿宋" w:eastAsia="仿宋" w:cs="仿宋"/>
          <w:b/>
          <w:bCs/>
          <w:color w:val="000000"/>
        </w:rPr>
        <w:t>的要求提供合格的产品，并承诺自验收合格后免费保修3年；免费保修期自验收合格之日起计算。</w:t>
      </w:r>
    </w:p>
    <w:p w14:paraId="2DAEDF9C">
      <w:pPr>
        <w:pStyle w:val="6"/>
        <w:widowControl/>
        <w:spacing w:before="0" w:beforeAutospacing="0" w:after="0" w:afterAutospacing="0" w:line="360" w:lineRule="auto"/>
        <w:ind w:firstLine="480"/>
        <w:rPr>
          <w:rFonts w:hint="eastAsia" w:ascii="仿宋" w:hAnsi="仿宋" w:eastAsia="仿宋" w:cs="仿宋"/>
          <w:color w:val="000000"/>
          <w:sz w:val="24"/>
          <w:szCs w:val="24"/>
        </w:rPr>
      </w:pPr>
      <w:r>
        <w:rPr>
          <w:rFonts w:hint="eastAsia" w:ascii="仿宋" w:hAnsi="仿宋" w:eastAsia="仿宋" w:cs="仿宋"/>
          <w:color w:val="000000"/>
        </w:rPr>
        <w:t>1</w:t>
      </w:r>
      <w:r>
        <w:rPr>
          <w:rFonts w:hint="eastAsia" w:ascii="仿宋" w:hAnsi="仿宋" w:eastAsia="仿宋" w:cs="仿宋"/>
          <w:color w:val="000000"/>
          <w:lang w:val="en-US" w:eastAsia="zh-CN"/>
        </w:rPr>
        <w:t>1</w:t>
      </w:r>
      <w:r>
        <w:rPr>
          <w:rFonts w:hint="eastAsia" w:ascii="仿宋" w:hAnsi="仿宋" w:eastAsia="仿宋" w:cs="仿宋"/>
          <w:color w:val="000000"/>
        </w:rPr>
        <w:t>.2在质量保证期内货物运行发生故障时</w:t>
      </w:r>
      <w:r>
        <w:rPr>
          <w:rFonts w:hint="eastAsia" w:ascii="仿宋" w:hAnsi="仿宋" w:eastAsia="仿宋" w:cs="仿宋"/>
          <w:color w:val="000000"/>
          <w:lang w:eastAsia="zh-CN"/>
        </w:rPr>
        <w:t>成交供应商</w:t>
      </w:r>
      <w:r>
        <w:rPr>
          <w:rFonts w:hint="eastAsia" w:ascii="仿宋" w:hAnsi="仿宋" w:eastAsia="仿宋" w:cs="仿宋"/>
          <w:color w:val="000000"/>
        </w:rPr>
        <w:t>在接到采购人故障电话通知后4小时内电话响应，</w:t>
      </w:r>
      <w:r>
        <w:rPr>
          <w:rFonts w:hint="eastAsia" w:ascii="仿宋" w:hAnsi="仿宋" w:eastAsia="仿宋" w:cs="仿宋"/>
          <w:color w:val="000000"/>
          <w:lang w:eastAsia="zh-CN"/>
        </w:rPr>
        <w:t>成交供应商</w:t>
      </w:r>
      <w:r>
        <w:rPr>
          <w:rFonts w:hint="eastAsia" w:ascii="仿宋" w:hAnsi="仿宋" w:eastAsia="仿宋" w:cs="仿宋"/>
          <w:color w:val="000000"/>
        </w:rPr>
        <w:t>应在接到通知的24小时内到达用户现场并解决问题。</w:t>
      </w:r>
    </w:p>
    <w:p w14:paraId="551DC77F">
      <w:pPr>
        <w:pStyle w:val="6"/>
        <w:widowControl/>
        <w:spacing w:before="0" w:beforeAutospacing="0" w:after="0" w:afterAutospacing="0" w:line="360" w:lineRule="auto"/>
        <w:ind w:firstLine="480"/>
        <w:rPr>
          <w:rFonts w:hint="eastAsia" w:ascii="仿宋" w:hAnsi="仿宋" w:eastAsia="仿宋" w:cs="仿宋"/>
          <w:color w:val="000000"/>
          <w:sz w:val="24"/>
          <w:szCs w:val="24"/>
        </w:rPr>
      </w:pPr>
      <w:r>
        <w:rPr>
          <w:rFonts w:hint="eastAsia" w:ascii="仿宋" w:hAnsi="仿宋" w:eastAsia="仿宋" w:cs="仿宋"/>
          <w:color w:val="000000"/>
        </w:rPr>
        <w:t>1</w:t>
      </w:r>
      <w:r>
        <w:rPr>
          <w:rFonts w:hint="eastAsia" w:ascii="仿宋" w:hAnsi="仿宋" w:eastAsia="仿宋" w:cs="仿宋"/>
          <w:color w:val="000000"/>
          <w:lang w:val="en-US" w:eastAsia="zh-CN"/>
        </w:rPr>
        <w:t>1</w:t>
      </w:r>
      <w:r>
        <w:rPr>
          <w:rFonts w:hint="eastAsia" w:ascii="仿宋" w:hAnsi="仿宋" w:eastAsia="仿宋" w:cs="仿宋"/>
          <w:color w:val="000000"/>
        </w:rPr>
        <w:t>.3质保期后，</w:t>
      </w:r>
      <w:r>
        <w:rPr>
          <w:rFonts w:hint="eastAsia" w:ascii="仿宋" w:hAnsi="仿宋" w:eastAsia="仿宋" w:cs="仿宋"/>
          <w:color w:val="000000"/>
          <w:lang w:eastAsia="zh-CN"/>
        </w:rPr>
        <w:t>成交供应商</w:t>
      </w:r>
      <w:r>
        <w:rPr>
          <w:rFonts w:hint="eastAsia" w:ascii="仿宋" w:hAnsi="仿宋" w:eastAsia="仿宋" w:cs="仿宋"/>
          <w:color w:val="000000"/>
        </w:rPr>
        <w:t>应提供或指 定维护机构对货物进行定期维护和修理，能在采购人提出问题后一日内给予答复，并在一周内派人到现场进行货物故障的维修。</w:t>
      </w:r>
    </w:p>
    <w:p w14:paraId="6C86B545">
      <w:pPr>
        <w:pStyle w:val="6"/>
        <w:widowControl/>
        <w:spacing w:before="0" w:beforeAutospacing="0" w:after="0" w:afterAutospacing="0" w:line="360" w:lineRule="auto"/>
        <w:ind w:firstLine="480"/>
        <w:rPr>
          <w:rFonts w:hint="eastAsia" w:ascii="仿宋" w:hAnsi="仿宋" w:eastAsia="仿宋" w:cs="仿宋"/>
          <w:color w:val="000000"/>
          <w:sz w:val="24"/>
          <w:szCs w:val="24"/>
        </w:rPr>
      </w:pPr>
      <w:r>
        <w:rPr>
          <w:rFonts w:hint="eastAsia" w:ascii="仿宋" w:hAnsi="仿宋" w:eastAsia="仿宋" w:cs="仿宋"/>
          <w:color w:val="000000"/>
        </w:rPr>
        <w:t>1</w:t>
      </w:r>
      <w:r>
        <w:rPr>
          <w:rFonts w:hint="eastAsia" w:ascii="仿宋" w:hAnsi="仿宋" w:eastAsia="仿宋" w:cs="仿宋"/>
          <w:color w:val="000000"/>
          <w:lang w:val="en-US" w:eastAsia="zh-CN"/>
        </w:rPr>
        <w:t>1</w:t>
      </w:r>
      <w:r>
        <w:rPr>
          <w:rFonts w:hint="eastAsia" w:ascii="仿宋" w:hAnsi="仿宋" w:eastAsia="仿宋" w:cs="仿宋"/>
          <w:color w:val="000000"/>
        </w:rPr>
        <w:t>.4</w:t>
      </w:r>
      <w:r>
        <w:rPr>
          <w:rFonts w:hint="eastAsia" w:ascii="仿宋" w:hAnsi="仿宋" w:eastAsia="仿宋" w:cs="仿宋"/>
          <w:color w:val="000000"/>
          <w:lang w:eastAsia="zh-CN"/>
        </w:rPr>
        <w:t>供应商</w:t>
      </w:r>
      <w:r>
        <w:rPr>
          <w:rFonts w:hint="eastAsia" w:ascii="仿宋" w:hAnsi="仿宋" w:eastAsia="仿宋" w:cs="仿宋"/>
          <w:color w:val="000000"/>
        </w:rPr>
        <w:t>可视自身能力在投标文件中提供更优、更合理的维修服务承诺。</w:t>
      </w:r>
    </w:p>
    <w:p w14:paraId="4168D1A4">
      <w:pPr>
        <w:pStyle w:val="6"/>
        <w:widowControl/>
        <w:spacing w:before="0" w:beforeAutospacing="0" w:after="0" w:afterAutospacing="0" w:line="360" w:lineRule="auto"/>
        <w:ind w:firstLine="480"/>
        <w:rPr>
          <w:rFonts w:hint="eastAsia" w:ascii="仿宋" w:hAnsi="仿宋" w:eastAsia="仿宋" w:cs="仿宋"/>
          <w:color w:val="000000"/>
          <w:sz w:val="24"/>
          <w:szCs w:val="24"/>
        </w:rPr>
      </w:pPr>
      <w:r>
        <w:rPr>
          <w:rStyle w:val="9"/>
          <w:rFonts w:hint="eastAsia" w:ascii="仿宋" w:hAnsi="仿宋" w:eastAsia="仿宋" w:cs="仿宋"/>
          <w:color w:val="000000"/>
        </w:rPr>
        <w:t>1</w:t>
      </w:r>
      <w:r>
        <w:rPr>
          <w:rStyle w:val="9"/>
          <w:rFonts w:hint="eastAsia" w:ascii="仿宋" w:hAnsi="仿宋" w:eastAsia="仿宋" w:cs="仿宋"/>
          <w:color w:val="000000"/>
          <w:lang w:val="en-US" w:eastAsia="zh-CN"/>
        </w:rPr>
        <w:t>2</w:t>
      </w:r>
      <w:r>
        <w:rPr>
          <w:rStyle w:val="9"/>
          <w:rFonts w:hint="eastAsia" w:ascii="仿宋" w:hAnsi="仿宋" w:eastAsia="仿宋" w:cs="仿宋"/>
          <w:color w:val="000000"/>
        </w:rPr>
        <w:t>、货物的检验、验收</w:t>
      </w:r>
    </w:p>
    <w:p w14:paraId="1844F6E4">
      <w:pPr>
        <w:pStyle w:val="6"/>
        <w:widowControl/>
        <w:spacing w:before="0" w:beforeAutospacing="0" w:after="0" w:afterAutospacing="0" w:line="360" w:lineRule="auto"/>
        <w:ind w:firstLine="480"/>
        <w:rPr>
          <w:rFonts w:hint="eastAsia" w:ascii="仿宋" w:hAnsi="仿宋" w:eastAsia="仿宋" w:cs="仿宋"/>
          <w:color w:val="000000"/>
          <w:sz w:val="24"/>
          <w:szCs w:val="24"/>
        </w:rPr>
      </w:pPr>
      <w:r>
        <w:rPr>
          <w:rFonts w:hint="eastAsia" w:ascii="仿宋" w:hAnsi="仿宋" w:eastAsia="仿宋" w:cs="仿宋"/>
          <w:color w:val="000000"/>
        </w:rPr>
        <w:t>1</w:t>
      </w:r>
      <w:r>
        <w:rPr>
          <w:rFonts w:hint="eastAsia" w:ascii="仿宋" w:hAnsi="仿宋" w:eastAsia="仿宋" w:cs="仿宋"/>
          <w:color w:val="000000"/>
          <w:lang w:val="en-US" w:eastAsia="zh-CN"/>
        </w:rPr>
        <w:t>2</w:t>
      </w:r>
      <w:r>
        <w:rPr>
          <w:rFonts w:hint="eastAsia" w:ascii="仿宋" w:hAnsi="仿宋" w:eastAsia="仿宋" w:cs="仿宋"/>
          <w:color w:val="000000"/>
        </w:rPr>
        <w:t>.1检验依据：货物的验收标准、制造标准、安装标准及技术规范等有关资料，应符合设备制造厂商的产品验收标准、相应的中华人民共和国国家标准及设备出厂标准，以及本招标文件要求的技术要求。</w:t>
      </w:r>
    </w:p>
    <w:p w14:paraId="7C21BF00">
      <w:pPr>
        <w:pStyle w:val="6"/>
        <w:widowControl/>
        <w:spacing w:before="0" w:beforeAutospacing="0" w:after="0" w:afterAutospacing="0" w:line="360" w:lineRule="auto"/>
        <w:ind w:firstLine="480"/>
        <w:rPr>
          <w:rFonts w:hint="eastAsia" w:ascii="仿宋" w:hAnsi="仿宋" w:eastAsia="仿宋" w:cs="仿宋"/>
          <w:color w:val="000000"/>
          <w:sz w:val="24"/>
          <w:szCs w:val="24"/>
        </w:rPr>
      </w:pPr>
      <w:r>
        <w:rPr>
          <w:rFonts w:hint="eastAsia" w:ascii="仿宋" w:hAnsi="仿宋" w:eastAsia="仿宋" w:cs="仿宋"/>
          <w:color w:val="000000"/>
        </w:rPr>
        <w:t>1</w:t>
      </w:r>
      <w:r>
        <w:rPr>
          <w:rFonts w:hint="eastAsia" w:ascii="仿宋" w:hAnsi="仿宋" w:eastAsia="仿宋" w:cs="仿宋"/>
          <w:color w:val="000000"/>
          <w:lang w:val="en-US" w:eastAsia="zh-CN"/>
        </w:rPr>
        <w:t>2</w:t>
      </w:r>
      <w:r>
        <w:rPr>
          <w:rFonts w:hint="eastAsia" w:ascii="仿宋" w:hAnsi="仿宋" w:eastAsia="仿宋" w:cs="仿宋"/>
          <w:color w:val="000000"/>
        </w:rPr>
        <w:t>.2检验程序：货物检验分出厂检验、安装调试检验与最终验收三个阶段。</w:t>
      </w:r>
    </w:p>
    <w:p w14:paraId="658B2C79">
      <w:pPr>
        <w:pStyle w:val="6"/>
        <w:widowControl/>
        <w:spacing w:before="0" w:beforeAutospacing="0" w:after="0" w:afterAutospacing="0" w:line="360" w:lineRule="auto"/>
        <w:ind w:firstLine="360"/>
        <w:rPr>
          <w:rFonts w:hint="eastAsia" w:ascii="仿宋" w:hAnsi="仿宋" w:eastAsia="仿宋" w:cs="仿宋"/>
          <w:color w:val="000000"/>
          <w:sz w:val="24"/>
          <w:szCs w:val="24"/>
        </w:rPr>
      </w:pPr>
      <w:r>
        <w:rPr>
          <w:rFonts w:hint="eastAsia" w:ascii="仿宋" w:hAnsi="仿宋" w:eastAsia="仿宋" w:cs="仿宋"/>
          <w:color w:val="000000"/>
        </w:rPr>
        <w:t>（1）出厂检验：</w:t>
      </w:r>
      <w:r>
        <w:rPr>
          <w:rFonts w:hint="eastAsia" w:ascii="仿宋" w:hAnsi="仿宋" w:eastAsia="仿宋" w:cs="仿宋"/>
          <w:color w:val="000000"/>
          <w:lang w:eastAsia="zh-CN"/>
        </w:rPr>
        <w:t>成交供应商</w:t>
      </w:r>
      <w:r>
        <w:rPr>
          <w:rFonts w:hint="eastAsia" w:ascii="仿宋" w:hAnsi="仿宋" w:eastAsia="仿宋" w:cs="仿宋"/>
          <w:color w:val="000000"/>
        </w:rPr>
        <w:t>在货物交付给采购人后，必须向采购人提交《产品质量合格证》。</w:t>
      </w:r>
    </w:p>
    <w:p w14:paraId="55BC6520">
      <w:pPr>
        <w:pStyle w:val="6"/>
        <w:widowControl/>
        <w:spacing w:before="0" w:beforeAutospacing="0" w:after="0" w:afterAutospacing="0" w:line="360" w:lineRule="auto"/>
        <w:ind w:firstLine="360"/>
        <w:rPr>
          <w:rFonts w:hint="eastAsia" w:ascii="仿宋" w:hAnsi="仿宋" w:eastAsia="仿宋" w:cs="仿宋"/>
          <w:color w:val="000000"/>
          <w:sz w:val="24"/>
          <w:szCs w:val="24"/>
        </w:rPr>
      </w:pPr>
      <w:r>
        <w:rPr>
          <w:rFonts w:hint="eastAsia" w:ascii="仿宋" w:hAnsi="仿宋" w:eastAsia="仿宋" w:cs="仿宋"/>
          <w:color w:val="000000"/>
        </w:rPr>
        <w:t>（2）安装调试检验（初验）:</w:t>
      </w:r>
      <w:r>
        <w:rPr>
          <w:rFonts w:hint="eastAsia" w:ascii="仿宋" w:hAnsi="仿宋" w:eastAsia="仿宋" w:cs="仿宋"/>
          <w:color w:val="000000"/>
          <w:lang w:eastAsia="zh-CN"/>
        </w:rPr>
        <w:t>成交供应商</w:t>
      </w:r>
      <w:r>
        <w:rPr>
          <w:rFonts w:hint="eastAsia" w:ascii="仿宋" w:hAnsi="仿宋" w:eastAsia="仿宋" w:cs="仿宋"/>
          <w:color w:val="000000"/>
        </w:rPr>
        <w:t>在货物到货之前须提供一份详细的货物清单及验收方案报告。</w:t>
      </w:r>
      <w:r>
        <w:rPr>
          <w:rFonts w:hint="eastAsia" w:ascii="仿宋" w:hAnsi="仿宋" w:eastAsia="仿宋" w:cs="仿宋"/>
          <w:color w:val="000000"/>
          <w:lang w:eastAsia="zh-CN"/>
        </w:rPr>
        <w:t>成交供应商</w:t>
      </w:r>
      <w:r>
        <w:rPr>
          <w:rFonts w:hint="eastAsia" w:ascii="仿宋" w:hAnsi="仿宋" w:eastAsia="仿宋" w:cs="仿宋"/>
          <w:color w:val="000000"/>
        </w:rPr>
        <w:t>应以书面形式通知采购人所要完成的工作和准备、进行验收的项目种类及验收开始时间，此通知书需经采购人认定后方可执行。采购人与</w:t>
      </w:r>
      <w:r>
        <w:rPr>
          <w:rFonts w:hint="eastAsia" w:ascii="仿宋" w:hAnsi="仿宋" w:eastAsia="仿宋" w:cs="仿宋"/>
          <w:color w:val="000000"/>
          <w:lang w:eastAsia="zh-CN"/>
        </w:rPr>
        <w:t>成交供应商</w:t>
      </w:r>
      <w:r>
        <w:rPr>
          <w:rFonts w:hint="eastAsia" w:ascii="仿宋" w:hAnsi="仿宋" w:eastAsia="仿宋" w:cs="仿宋"/>
          <w:color w:val="000000"/>
        </w:rPr>
        <w:t>一起对所验收的项目进行测试。</w:t>
      </w:r>
    </w:p>
    <w:p w14:paraId="2AF4B097">
      <w:pPr>
        <w:pStyle w:val="6"/>
        <w:widowControl/>
        <w:spacing w:before="0" w:beforeAutospacing="0" w:after="0" w:afterAutospacing="0" w:line="360" w:lineRule="auto"/>
        <w:ind w:firstLine="360"/>
        <w:rPr>
          <w:rFonts w:hint="eastAsia" w:ascii="仿宋" w:hAnsi="仿宋" w:eastAsia="仿宋" w:cs="仿宋"/>
          <w:color w:val="000000"/>
          <w:sz w:val="24"/>
          <w:szCs w:val="24"/>
        </w:rPr>
      </w:pPr>
      <w:r>
        <w:rPr>
          <w:rFonts w:hint="eastAsia" w:ascii="仿宋" w:hAnsi="仿宋" w:eastAsia="仿宋" w:cs="仿宋"/>
          <w:color w:val="000000"/>
        </w:rPr>
        <w:t>（3）最终验收:货物安装调试和试运行结束后，</w:t>
      </w:r>
      <w:r>
        <w:rPr>
          <w:rFonts w:hint="eastAsia" w:ascii="仿宋" w:hAnsi="仿宋" w:eastAsia="仿宋" w:cs="仿宋"/>
          <w:color w:val="000000"/>
          <w:lang w:eastAsia="zh-CN"/>
        </w:rPr>
        <w:t>成交供应商</w:t>
      </w:r>
      <w:r>
        <w:rPr>
          <w:rFonts w:hint="eastAsia" w:ascii="仿宋" w:hAnsi="仿宋" w:eastAsia="仿宋" w:cs="仿宋"/>
          <w:color w:val="000000"/>
        </w:rPr>
        <w:t>与采购人按招标文件以及合同相关条款要求一同对货物进行验收，验收结果应符合采购人使用要求，若发现不符合招标文件及合同条款要求，需立即进行整改并通过最终验收。采购人在验收过程中，为保证货物用材质量，有权随机对货物进行破坏性抽检，被破坏的货物由</w:t>
      </w:r>
      <w:r>
        <w:rPr>
          <w:rFonts w:hint="eastAsia" w:ascii="仿宋" w:hAnsi="仿宋" w:eastAsia="仿宋" w:cs="仿宋"/>
          <w:color w:val="000000"/>
          <w:lang w:eastAsia="zh-CN"/>
        </w:rPr>
        <w:t>成交供应商</w:t>
      </w:r>
      <w:r>
        <w:rPr>
          <w:rFonts w:hint="eastAsia" w:ascii="仿宋" w:hAnsi="仿宋" w:eastAsia="仿宋" w:cs="仿宋"/>
          <w:color w:val="000000"/>
        </w:rPr>
        <w:t>承担。</w:t>
      </w:r>
    </w:p>
    <w:p w14:paraId="1CD5CBAB">
      <w:pPr>
        <w:pStyle w:val="6"/>
        <w:spacing w:before="0" w:beforeAutospacing="0" w:after="0" w:afterAutospacing="0" w:line="360" w:lineRule="auto"/>
        <w:ind w:firstLine="360"/>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lang w:val="en-US" w:eastAsia="zh-CN"/>
        </w:rPr>
        <w:t>2</w:t>
      </w:r>
      <w:r>
        <w:rPr>
          <w:rFonts w:hint="eastAsia" w:ascii="仿宋" w:hAnsi="仿宋" w:eastAsia="仿宋" w:cs="仿宋"/>
          <w:color w:val="000000"/>
        </w:rPr>
        <w:t>.3验收所发生的一切费用由</w:t>
      </w:r>
      <w:r>
        <w:rPr>
          <w:rFonts w:hint="eastAsia" w:ascii="仿宋" w:hAnsi="仿宋" w:eastAsia="仿宋" w:cs="仿宋"/>
          <w:color w:val="000000"/>
          <w:lang w:eastAsia="zh-CN"/>
        </w:rPr>
        <w:t>成交供应商</w:t>
      </w:r>
      <w:r>
        <w:rPr>
          <w:rFonts w:hint="eastAsia" w:ascii="仿宋" w:hAnsi="仿宋" w:eastAsia="仿宋" w:cs="仿宋"/>
          <w:color w:val="000000"/>
        </w:rPr>
        <w:t>承担。</w:t>
      </w:r>
    </w:p>
    <w:p w14:paraId="75B7DB81">
      <w:pPr>
        <w:pStyle w:val="6"/>
        <w:spacing w:before="0" w:beforeAutospacing="0" w:after="0" w:afterAutospacing="0" w:line="360" w:lineRule="auto"/>
        <w:ind w:firstLine="360"/>
        <w:rPr>
          <w:rFonts w:hint="eastAsia" w:ascii="仿宋" w:hAnsi="仿宋" w:eastAsia="仿宋" w:cs="仿宋"/>
          <w:b/>
          <w:bCs/>
          <w:color w:val="000000"/>
        </w:rPr>
      </w:pPr>
      <w:r>
        <w:rPr>
          <w:rFonts w:hint="eastAsia" w:ascii="仿宋" w:hAnsi="仿宋" w:eastAsia="仿宋" w:cs="仿宋"/>
          <w:b/>
          <w:bCs/>
          <w:color w:val="000000"/>
          <w:sz w:val="24"/>
          <w:lang w:val="en-US" w:eastAsia="zh-CN"/>
        </w:rPr>
        <w:t>13、</w:t>
      </w:r>
      <w:r>
        <w:rPr>
          <w:rFonts w:hint="eastAsia" w:ascii="仿宋" w:hAnsi="仿宋" w:eastAsia="仿宋" w:cs="仿宋"/>
          <w:b/>
          <w:bCs/>
          <w:color w:val="000000"/>
          <w:sz w:val="24"/>
        </w:rPr>
        <w:t>知识产权</w:t>
      </w:r>
    </w:p>
    <w:p w14:paraId="071EFD28">
      <w:pPr>
        <w:pStyle w:val="6"/>
        <w:spacing w:before="0" w:beforeAutospacing="0" w:after="0" w:afterAutospacing="0" w:line="360" w:lineRule="auto"/>
        <w:ind w:firstLine="360"/>
        <w:rPr>
          <w:rFonts w:hint="eastAsia" w:ascii="仿宋" w:hAnsi="仿宋" w:eastAsia="仿宋" w:cs="仿宋"/>
          <w:color w:val="000000"/>
          <w:sz w:val="24"/>
        </w:rPr>
      </w:pPr>
      <w:r>
        <w:rPr>
          <w:rFonts w:hint="eastAsia" w:ascii="仿宋" w:hAnsi="仿宋" w:eastAsia="仿宋" w:cs="仿宋"/>
          <w:color w:val="000000"/>
          <w:sz w:val="24"/>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4D3F78C6">
      <w:pPr>
        <w:pStyle w:val="10"/>
        <w:spacing w:before="0" w:after="0" w:line="360" w:lineRule="auto"/>
        <w:ind w:firstLine="480"/>
        <w:jc w:val="left"/>
        <w:rPr>
          <w:rFonts w:ascii="仿宋" w:hAnsi="仿宋" w:eastAsia="仿宋" w:cs="仿宋"/>
          <w:sz w:val="24"/>
          <w:szCs w:val="24"/>
        </w:rPr>
      </w:pPr>
      <w:r>
        <w:rPr>
          <w:rFonts w:ascii="仿宋" w:hAnsi="仿宋" w:eastAsia="仿宋" w:cs="仿宋"/>
          <w:sz w:val="24"/>
          <w:szCs w:val="24"/>
        </w:rPr>
        <w:t>14、仲裁、诉讼条款</w:t>
      </w:r>
    </w:p>
    <w:p w14:paraId="2DB14DC7">
      <w:pPr>
        <w:pStyle w:val="10"/>
        <w:spacing w:before="0" w:after="0" w:line="360" w:lineRule="auto"/>
        <w:ind w:firstLine="480"/>
        <w:jc w:val="left"/>
        <w:rPr>
          <w:rFonts w:ascii="仿宋" w:hAnsi="仿宋" w:eastAsia="仿宋" w:cs="仿宋"/>
          <w:sz w:val="24"/>
          <w:szCs w:val="24"/>
        </w:rPr>
      </w:pPr>
      <w:r>
        <w:rPr>
          <w:rFonts w:ascii="仿宋" w:hAnsi="仿宋" w:eastAsia="仿宋" w:cs="仿宋"/>
          <w:sz w:val="24"/>
          <w:szCs w:val="24"/>
        </w:rPr>
        <w:t>因采购或与采购合同有关的一切事项发生争议，由采购人和成交供应商双方友好协商解决。协商不成的，任何一方均可选择以下</w:t>
      </w:r>
      <w:r>
        <w:rPr>
          <w:rFonts w:ascii="仿宋" w:hAnsi="仿宋" w:eastAsia="仿宋" w:cs="仿宋"/>
          <w:sz w:val="24"/>
          <w:szCs w:val="24"/>
          <w:u w:val="single"/>
        </w:rPr>
        <w:t>(2)</w:t>
      </w:r>
      <w:r>
        <w:rPr>
          <w:rFonts w:ascii="仿宋" w:hAnsi="仿宋" w:eastAsia="仿宋" w:cs="仿宋"/>
          <w:sz w:val="24"/>
          <w:szCs w:val="24"/>
        </w:rPr>
        <w:t>方式解决：</w:t>
      </w:r>
    </w:p>
    <w:p w14:paraId="1574C3F2">
      <w:pPr>
        <w:pStyle w:val="10"/>
        <w:spacing w:before="0" w:after="0" w:line="360" w:lineRule="auto"/>
        <w:ind w:firstLine="480"/>
        <w:jc w:val="left"/>
        <w:rPr>
          <w:rFonts w:ascii="仿宋" w:hAnsi="仿宋" w:eastAsia="仿宋" w:cs="仿宋"/>
          <w:sz w:val="24"/>
          <w:szCs w:val="24"/>
        </w:rPr>
      </w:pPr>
      <w:r>
        <w:rPr>
          <w:rFonts w:ascii="仿宋" w:hAnsi="仿宋" w:eastAsia="仿宋" w:cs="仿宋"/>
          <w:sz w:val="24"/>
          <w:szCs w:val="24"/>
        </w:rPr>
        <w:t>(1)向采购人所在地仲裁委员会申请仲裁；</w:t>
      </w:r>
    </w:p>
    <w:p w14:paraId="789077C5">
      <w:pPr>
        <w:pStyle w:val="10"/>
        <w:spacing w:line="360" w:lineRule="auto"/>
        <w:ind w:firstLine="480"/>
        <w:jc w:val="left"/>
        <w:rPr>
          <w:rFonts w:ascii="仿宋" w:hAnsi="仿宋" w:eastAsia="仿宋" w:cs="仿宋"/>
          <w:sz w:val="24"/>
          <w:szCs w:val="24"/>
        </w:rPr>
      </w:pPr>
      <w:r>
        <w:rPr>
          <w:rFonts w:ascii="仿宋" w:hAnsi="仿宋" w:eastAsia="仿宋" w:cs="仿宋"/>
          <w:sz w:val="24"/>
          <w:szCs w:val="24"/>
        </w:rPr>
        <w:t>(2)向采购人所在地人民法院提起诉讼。</w:t>
      </w:r>
    </w:p>
    <w:p w14:paraId="3056985D">
      <w:pPr>
        <w:pStyle w:val="6"/>
        <w:spacing w:before="0" w:beforeAutospacing="0" w:after="0" w:afterAutospacing="0" w:line="360" w:lineRule="auto"/>
        <w:ind w:firstLine="360"/>
        <w:rPr>
          <w:rFonts w:hint="eastAsia" w:ascii="仿宋" w:hAnsi="仿宋" w:eastAsia="仿宋" w:cs="仿宋"/>
          <w:color w:val="000000"/>
        </w:rPr>
      </w:pPr>
    </w:p>
    <w:p w14:paraId="240E9201">
      <w:pPr>
        <w:pStyle w:val="10"/>
        <w:spacing w:line="360" w:lineRule="auto"/>
        <w:ind w:firstLine="480"/>
        <w:jc w:val="both"/>
        <w:outlineLvl w:val="2"/>
        <w:rPr>
          <w:rFonts w:ascii="仿宋" w:hAnsi="仿宋" w:eastAsia="仿宋" w:cs="仿宋"/>
          <w:sz w:val="24"/>
          <w:szCs w:val="24"/>
        </w:rPr>
      </w:pPr>
      <w:r>
        <w:rPr>
          <w:rFonts w:ascii="仿宋" w:hAnsi="仿宋" w:eastAsia="仿宋" w:cs="仿宋"/>
          <w:b/>
          <w:sz w:val="24"/>
          <w:szCs w:val="24"/>
        </w:rPr>
        <w:t>四、其他事项</w:t>
      </w:r>
    </w:p>
    <w:p w14:paraId="5FA76B2A">
      <w:pPr>
        <w:pStyle w:val="10"/>
        <w:spacing w:before="0" w:after="0" w:line="360" w:lineRule="auto"/>
        <w:ind w:firstLine="480"/>
        <w:rPr>
          <w:rFonts w:hint="eastAsia" w:ascii="仿宋" w:hAnsi="仿宋" w:eastAsia="仿宋" w:cs="仿宋"/>
          <w:sz w:val="24"/>
          <w:szCs w:val="24"/>
        </w:rPr>
      </w:pPr>
      <w:r>
        <w:rPr>
          <w:rFonts w:hint="eastAsia" w:ascii="仿宋" w:hAnsi="仿宋" w:eastAsia="仿宋" w:cs="仿宋"/>
          <w:sz w:val="24"/>
          <w:szCs w:val="24"/>
        </w:rPr>
        <w:t>1、除询价通知书另有规定外，若出现有关法律、法规和规章有强制性规定但询价通知书未列明的情形，则供应商应按照有关法律、法规和规章强制性规定执行。</w:t>
      </w:r>
    </w:p>
    <w:p w14:paraId="4E1A96E7">
      <w:pPr>
        <w:pStyle w:val="10"/>
        <w:spacing w:before="0" w:after="0" w:line="360" w:lineRule="auto"/>
        <w:ind w:firstLine="480"/>
        <w:rPr>
          <w:rFonts w:hint="eastAsia" w:ascii="仿宋" w:hAnsi="仿宋" w:eastAsia="仿宋" w:cs="仿宋"/>
          <w:sz w:val="24"/>
          <w:szCs w:val="24"/>
        </w:rPr>
      </w:pPr>
      <w:r>
        <w:rPr>
          <w:rFonts w:hint="eastAsia" w:ascii="仿宋" w:hAnsi="仿宋" w:eastAsia="仿宋" w:cs="仿宋"/>
          <w:sz w:val="24"/>
          <w:szCs w:val="24"/>
        </w:rPr>
        <w:t>2、本项目不允许成交供应商以任何名义和理由在成交后将成交项目的主体、非主体、关键性工作、非关键性工作进行转包、分包。在履行合同过程中如有发现，采购人有权单方终止合同。视为成交供应商违约，成交供应商违约对采购人造成的损失的，需另行支付相应的赔偿，并追究相关法律责任。</w:t>
      </w:r>
    </w:p>
    <w:p w14:paraId="6A405694">
      <w:pPr>
        <w:pStyle w:val="10"/>
        <w:spacing w:before="0" w:after="0" w:line="360" w:lineRule="auto"/>
        <w:ind w:firstLine="480"/>
        <w:rPr>
          <w:rFonts w:ascii="仿宋" w:hAnsi="仿宋" w:eastAsia="仿宋" w:cs="仿宋"/>
          <w:sz w:val="24"/>
          <w:szCs w:val="24"/>
        </w:rPr>
      </w:pPr>
      <w:r>
        <w:rPr>
          <w:rFonts w:hint="eastAsia" w:ascii="仿宋" w:hAnsi="仿宋" w:eastAsia="仿宋" w:cs="仿宋"/>
          <w:sz w:val="24"/>
          <w:szCs w:val="24"/>
        </w:rPr>
        <w:t>3、本询价通知书未明确的其它约定事项或条款，待采购人与成交供应商签订合同时，由双方协商订立，补充协议具有同等法律效力。</w:t>
      </w: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5F70A8B0">
      <w:pPr>
        <w:pStyle w:val="10"/>
        <w:jc w:val="center"/>
        <w:outlineLvl w:val="1"/>
      </w:pPr>
      <w:r>
        <w:rPr>
          <w:rFonts w:ascii="仿宋_GB2312" w:hAnsi="仿宋_GB2312" w:eastAsia="仿宋_GB2312" w:cs="仿宋_GB2312"/>
          <w:b/>
          <w:sz w:val="36"/>
        </w:rPr>
        <w:t>第五章 政府采购合同</w:t>
      </w:r>
    </w:p>
    <w:p w14:paraId="1C816C04">
      <w:pPr>
        <w:pStyle w:val="10"/>
        <w:jc w:val="center"/>
        <w:outlineLvl w:val="2"/>
      </w:pPr>
      <w:r>
        <w:rPr>
          <w:rFonts w:ascii="仿宋_GB2312" w:hAnsi="仿宋_GB2312" w:eastAsia="仿宋_GB2312" w:cs="仿宋_GB2312"/>
          <w:b/>
          <w:sz w:val="28"/>
        </w:rPr>
        <w:t>参考文本</w:t>
      </w:r>
    </w:p>
    <w:p w14:paraId="0325ED43">
      <w:pPr>
        <w:pStyle w:val="10"/>
        <w:jc w:val="left"/>
        <w:outlineLvl w:val="0"/>
      </w:pPr>
      <w:r>
        <w:rPr>
          <w:rFonts w:ascii="仿宋_GB2312" w:hAnsi="仿宋_GB2312" w:eastAsia="仿宋_GB2312" w:cs="仿宋_GB2312"/>
          <w:b/>
          <w:sz w:val="48"/>
        </w:rPr>
        <w:t xml:space="preserve"> 政府采购货物买卖合同</w:t>
      </w:r>
    </w:p>
    <w:p w14:paraId="4AC59F83">
      <w:pPr>
        <w:pStyle w:val="10"/>
        <w:jc w:val="center"/>
        <w:outlineLvl w:val="0"/>
      </w:pPr>
      <w:r>
        <w:rPr>
          <w:rFonts w:ascii="仿宋_GB2312" w:hAnsi="仿宋_GB2312" w:eastAsia="仿宋_GB2312" w:cs="仿宋_GB2312"/>
          <w:b/>
          <w:sz w:val="48"/>
        </w:rPr>
        <w:t>（试行）</w:t>
      </w:r>
    </w:p>
    <w:p w14:paraId="14B6C26A">
      <w:pPr>
        <w:pStyle w:val="10"/>
        <w:jc w:val="left"/>
      </w:pPr>
      <w:r>
        <w:rPr>
          <w:rFonts w:ascii="仿宋_GB2312" w:hAnsi="仿宋_GB2312" w:eastAsia="仿宋_GB2312" w:cs="仿宋_GB2312"/>
          <w:b/>
          <w:sz w:val="31"/>
        </w:rPr>
        <w:t>项目名称： __________________________</w:t>
      </w:r>
    </w:p>
    <w:p w14:paraId="3EB89835">
      <w:pPr>
        <w:pStyle w:val="10"/>
        <w:jc w:val="left"/>
      </w:pPr>
      <w:r>
        <w:rPr>
          <w:rFonts w:ascii="仿宋_GB2312" w:hAnsi="仿宋_GB2312" w:eastAsia="仿宋_GB2312" w:cs="仿宋_GB2312"/>
          <w:b/>
          <w:sz w:val="31"/>
        </w:rPr>
        <w:t>合同编号： __________________________</w:t>
      </w:r>
    </w:p>
    <w:p w14:paraId="7E73BB72">
      <w:pPr>
        <w:pStyle w:val="10"/>
        <w:jc w:val="left"/>
      </w:pPr>
      <w:r>
        <w:rPr>
          <w:rFonts w:ascii="仿宋_GB2312" w:hAnsi="仿宋_GB2312" w:eastAsia="仿宋_GB2312" w:cs="仿宋_GB2312"/>
          <w:b/>
          <w:sz w:val="31"/>
        </w:rPr>
        <w:t>甲   方： __________________________</w:t>
      </w:r>
    </w:p>
    <w:p w14:paraId="09244B06">
      <w:pPr>
        <w:pStyle w:val="10"/>
        <w:jc w:val="left"/>
      </w:pPr>
      <w:r>
        <w:rPr>
          <w:rFonts w:ascii="仿宋_GB2312" w:hAnsi="仿宋_GB2312" w:eastAsia="仿宋_GB2312" w:cs="仿宋_GB2312"/>
          <w:b/>
          <w:sz w:val="31"/>
        </w:rPr>
        <w:t>乙   方：__________________________</w:t>
      </w:r>
    </w:p>
    <w:p w14:paraId="421CA13D">
      <w:pPr>
        <w:pStyle w:val="10"/>
        <w:jc w:val="left"/>
      </w:pPr>
      <w:r>
        <w:rPr>
          <w:rFonts w:ascii="仿宋_GB2312" w:hAnsi="仿宋_GB2312" w:eastAsia="仿宋_GB2312" w:cs="仿宋_GB2312"/>
          <w:b/>
          <w:sz w:val="31"/>
        </w:rPr>
        <w:t>签订时间：__________________________</w:t>
      </w:r>
    </w:p>
    <w:p w14:paraId="56230547">
      <w:pPr>
        <w:pStyle w:val="10"/>
        <w:jc w:val="left"/>
      </w:pPr>
      <w:r>
        <w:rPr>
          <w:rFonts w:ascii="仿宋_GB2312" w:hAnsi="仿宋_GB2312" w:eastAsia="仿宋_GB2312" w:cs="仿宋_GB2312"/>
        </w:rPr>
        <w:t xml:space="preserve"> </w:t>
      </w:r>
    </w:p>
    <w:p w14:paraId="72D3FAE6">
      <w:pPr>
        <w:pStyle w:val="10"/>
        <w:jc w:val="center"/>
        <w:outlineLvl w:val="1"/>
      </w:pPr>
      <w:r>
        <w:rPr>
          <w:rFonts w:ascii="仿宋_GB2312" w:hAnsi="仿宋_GB2312" w:eastAsia="仿宋_GB2312" w:cs="仿宋_GB2312"/>
          <w:b/>
          <w:sz w:val="36"/>
        </w:rPr>
        <w:t>使用说明</w:t>
      </w:r>
    </w:p>
    <w:p w14:paraId="37597B39">
      <w:pPr>
        <w:pStyle w:val="10"/>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675FE903">
      <w:pPr>
        <w:pStyle w:val="10"/>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05EB32F6">
      <w:pPr>
        <w:pStyle w:val="10"/>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7BA51772">
      <w:pPr>
        <w:pStyle w:val="10"/>
        <w:jc w:val="center"/>
        <w:outlineLvl w:val="1"/>
      </w:pPr>
      <w:r>
        <w:rPr>
          <w:rFonts w:ascii="仿宋_GB2312" w:hAnsi="仿宋_GB2312" w:eastAsia="仿宋_GB2312" w:cs="仿宋_GB2312"/>
          <w:b/>
          <w:sz w:val="36"/>
        </w:rPr>
        <w:t>第一节 政府采购合同协议书</w:t>
      </w:r>
    </w:p>
    <w:p w14:paraId="3D7D5046">
      <w:pPr>
        <w:pStyle w:val="10"/>
        <w:jc w:val="left"/>
      </w:pPr>
      <w:r>
        <w:rPr>
          <w:rFonts w:ascii="仿宋_GB2312" w:hAnsi="仿宋_GB2312" w:eastAsia="仿宋_GB2312" w:cs="仿宋_GB2312"/>
        </w:rPr>
        <w:t>甲方（全称）：___________________________（采购人、受采购人委托签订合同的单位或采购文件约定的合同甲方）</w:t>
      </w:r>
    </w:p>
    <w:p w14:paraId="07E1AB90">
      <w:pPr>
        <w:pStyle w:val="10"/>
        <w:jc w:val="left"/>
      </w:pPr>
      <w:r>
        <w:rPr>
          <w:rFonts w:ascii="仿宋_GB2312" w:hAnsi="仿宋_GB2312" w:eastAsia="仿宋_GB2312" w:cs="仿宋_GB2312"/>
        </w:rPr>
        <w:t>乙方1（全称）：___________________________（供应商）</w:t>
      </w:r>
    </w:p>
    <w:p w14:paraId="7917067D">
      <w:pPr>
        <w:pStyle w:val="10"/>
        <w:jc w:val="left"/>
      </w:pPr>
      <w:r>
        <w:rPr>
          <w:rFonts w:ascii="仿宋_GB2312" w:hAnsi="仿宋_GB2312" w:eastAsia="仿宋_GB2312" w:cs="仿宋_GB2312"/>
        </w:rPr>
        <w:t>乙方2（全称）：___________________________（联合体成员供应商或其他合同主体）（如有）</w:t>
      </w:r>
    </w:p>
    <w:p w14:paraId="4B7C588B">
      <w:pPr>
        <w:pStyle w:val="10"/>
        <w:jc w:val="left"/>
      </w:pPr>
      <w:r>
        <w:rPr>
          <w:rFonts w:ascii="仿宋_GB2312" w:hAnsi="仿宋_GB2312" w:eastAsia="仿宋_GB2312" w:cs="仿宋_GB2312"/>
        </w:rPr>
        <w:t>乙方3（全称）：___________________________（联合体成员供应商或其他合同主体）（如有）</w:t>
      </w:r>
    </w:p>
    <w:p w14:paraId="16AA609A">
      <w:pPr>
        <w:pStyle w:val="10"/>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D7DB79F">
      <w:pPr>
        <w:pStyle w:val="10"/>
        <w:jc w:val="left"/>
        <w:outlineLvl w:val="2"/>
      </w:pPr>
      <w:r>
        <w:rPr>
          <w:rFonts w:ascii="仿宋_GB2312" w:hAnsi="仿宋_GB2312" w:eastAsia="仿宋_GB2312" w:cs="仿宋_GB2312"/>
          <w:b/>
          <w:sz w:val="28"/>
        </w:rPr>
        <w:t>1.项目信息</w:t>
      </w:r>
    </w:p>
    <w:p w14:paraId="2222CF9E">
      <w:pPr>
        <w:pStyle w:val="10"/>
        <w:jc w:val="left"/>
      </w:pPr>
      <w:r>
        <w:rPr>
          <w:rFonts w:ascii="仿宋_GB2312" w:hAnsi="仿宋_GB2312" w:eastAsia="仿宋_GB2312" w:cs="仿宋_GB2312"/>
        </w:rPr>
        <w:t>(1)采购项目名称：___________________________</w:t>
      </w:r>
    </w:p>
    <w:p w14:paraId="0DDCC3C1">
      <w:pPr>
        <w:pStyle w:val="10"/>
        <w:jc w:val="left"/>
      </w:pPr>
      <w:r>
        <w:rPr>
          <w:rFonts w:ascii="仿宋_GB2312" w:hAnsi="仿宋_GB2312" w:eastAsia="仿宋_GB2312" w:cs="仿宋_GB2312"/>
        </w:rPr>
        <w:t xml:space="preserve"> 采购项目编号：____________________________</w:t>
      </w:r>
    </w:p>
    <w:p w14:paraId="16887DE8">
      <w:pPr>
        <w:pStyle w:val="10"/>
        <w:jc w:val="left"/>
      </w:pPr>
      <w:r>
        <w:rPr>
          <w:rFonts w:ascii="仿宋_GB2312" w:hAnsi="仿宋_GB2312" w:eastAsia="仿宋_GB2312" w:cs="仿宋_GB2312"/>
        </w:rPr>
        <w:t>(2)采购计划编号：___________________________</w:t>
      </w:r>
    </w:p>
    <w:p w14:paraId="21660DA4">
      <w:pPr>
        <w:pStyle w:val="10"/>
        <w:jc w:val="left"/>
      </w:pPr>
      <w:r>
        <w:rPr>
          <w:rFonts w:ascii="仿宋_GB2312" w:hAnsi="仿宋_GB2312" w:eastAsia="仿宋_GB2312" w:cs="仿宋_GB2312"/>
        </w:rPr>
        <w:t>(3)项目内容：</w:t>
      </w:r>
    </w:p>
    <w:p w14:paraId="300E5CFB">
      <w:pPr>
        <w:pStyle w:val="10"/>
        <w:jc w:val="left"/>
      </w:pPr>
      <w:r>
        <w:rPr>
          <w:rFonts w:ascii="仿宋_GB2312" w:hAnsi="仿宋_GB2312" w:eastAsia="仿宋_GB2312" w:cs="仿宋_GB2312"/>
        </w:rPr>
        <w:t>采购标的及数量（台/套/个/架/组等）：___________________</w:t>
      </w:r>
    </w:p>
    <w:p w14:paraId="30840456">
      <w:pPr>
        <w:pStyle w:val="10"/>
        <w:jc w:val="left"/>
      </w:pPr>
      <w:r>
        <w:rPr>
          <w:rFonts w:ascii="仿宋_GB2312" w:hAnsi="仿宋_GB2312" w:eastAsia="仿宋_GB2312" w:cs="仿宋_GB2312"/>
        </w:rPr>
        <w:t xml:space="preserve"> 品牌： ___________________ 规格型号：___________________</w:t>
      </w:r>
    </w:p>
    <w:p w14:paraId="563B6742">
      <w:pPr>
        <w:pStyle w:val="10"/>
        <w:jc w:val="left"/>
      </w:pPr>
      <w:r>
        <w:rPr>
          <w:rFonts w:ascii="仿宋_GB2312" w:hAnsi="仿宋_GB2312" w:eastAsia="仿宋_GB2312" w:cs="仿宋_GB2312"/>
        </w:rPr>
        <w:t>采购标的的技术要求、商务要求具体见附件。</w:t>
      </w:r>
    </w:p>
    <w:p w14:paraId="549F80B4">
      <w:pPr>
        <w:pStyle w:val="10"/>
        <w:jc w:val="left"/>
      </w:pPr>
      <w:r>
        <w:rPr>
          <w:rFonts w:ascii="仿宋_GB2312" w:hAnsi="仿宋_GB2312" w:eastAsia="仿宋_GB2312" w:cs="仿宋_GB2312"/>
        </w:rPr>
        <w:t>①涉及信息类产品，请填写该产品关键部件的品牌、型号：</w:t>
      </w:r>
    </w:p>
    <w:p w14:paraId="1FD0DC99">
      <w:pPr>
        <w:pStyle w:val="10"/>
        <w:jc w:val="left"/>
      </w:pPr>
      <w:r>
        <w:rPr>
          <w:rFonts w:ascii="仿宋_GB2312" w:hAnsi="仿宋_GB2312" w:eastAsia="仿宋_GB2312" w:cs="仿宋_GB2312"/>
        </w:rPr>
        <w:t>标的名称： ___________________</w:t>
      </w:r>
    </w:p>
    <w:p w14:paraId="304F9844">
      <w:pPr>
        <w:pStyle w:val="10"/>
        <w:jc w:val="left"/>
      </w:pPr>
      <w:r>
        <w:rPr>
          <w:rFonts w:ascii="仿宋_GB2312" w:hAnsi="仿宋_GB2312" w:eastAsia="仿宋_GB2312" w:cs="仿宋_GB2312"/>
        </w:rPr>
        <w:t>关键部件： ___________________ 品牌：___________________ 型号： ___________________</w:t>
      </w:r>
    </w:p>
    <w:p w14:paraId="5FE375BC">
      <w:pPr>
        <w:pStyle w:val="10"/>
        <w:jc w:val="left"/>
      </w:pPr>
      <w:r>
        <w:rPr>
          <w:rFonts w:ascii="仿宋_GB2312" w:hAnsi="仿宋_GB2312" w:eastAsia="仿宋_GB2312" w:cs="仿宋_GB2312"/>
        </w:rPr>
        <w:t>关键部件： ___________________ 品牌：___________________ 型号： ___________________</w:t>
      </w:r>
    </w:p>
    <w:p w14:paraId="6339D414">
      <w:pPr>
        <w:pStyle w:val="10"/>
        <w:jc w:val="left"/>
      </w:pPr>
      <w:r>
        <w:rPr>
          <w:rFonts w:ascii="仿宋_GB2312" w:hAnsi="仿宋_GB2312" w:eastAsia="仿宋_GB2312" w:cs="仿宋_GB2312"/>
        </w:rPr>
        <w:t>关键部件： ___________________ 品牌：___________________ 型号： ___________________</w:t>
      </w:r>
    </w:p>
    <w:p w14:paraId="2205A9BB">
      <w:pPr>
        <w:pStyle w:val="10"/>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1DAEABA7">
      <w:pPr>
        <w:pStyle w:val="10"/>
        <w:jc w:val="left"/>
      </w:pPr>
      <w:r>
        <w:rPr>
          <w:rFonts w:ascii="仿宋_GB2312" w:hAnsi="仿宋_GB2312" w:eastAsia="仿宋_GB2312" w:cs="仿宋_GB2312"/>
        </w:rPr>
        <w:t>②涉及车辆采购，请填写是否属于新能源汽车：</w:t>
      </w:r>
    </w:p>
    <w:p w14:paraId="51F19471">
      <w:pPr>
        <w:pStyle w:val="10"/>
        <w:jc w:val="left"/>
      </w:pPr>
      <w:r>
        <w:rPr>
          <w:rFonts w:ascii="仿宋_GB2312" w:hAnsi="仿宋_GB2312" w:eastAsia="仿宋_GB2312" w:cs="仿宋_GB2312"/>
        </w:rPr>
        <w:t xml:space="preserve"> 是，《政府采购品目分类目录》底级品目名称：__________  数量：__________  金额：__________</w:t>
      </w:r>
    </w:p>
    <w:p w14:paraId="1CD1A6E5">
      <w:pPr>
        <w:pStyle w:val="10"/>
        <w:spacing w:line="300" w:lineRule="auto"/>
        <w:jc w:val="left"/>
      </w:pPr>
      <w:r>
        <w:rPr>
          <w:rFonts w:ascii="仿宋_GB2312" w:hAnsi="仿宋_GB2312" w:eastAsia="仿宋_GB2312" w:cs="仿宋_GB2312"/>
        </w:rPr>
        <w:t xml:space="preserve"> 否</w:t>
      </w:r>
    </w:p>
    <w:p w14:paraId="165C60FF">
      <w:pPr>
        <w:pStyle w:val="10"/>
        <w:jc w:val="left"/>
      </w:pPr>
      <w:r>
        <w:rPr>
          <w:rFonts w:ascii="仿宋_GB2312" w:hAnsi="仿宋_GB2312" w:eastAsia="仿宋_GB2312" w:cs="仿宋_GB2312"/>
        </w:rPr>
        <w:t>(4)政府采购组织形式：政府集中采购 部门集中采购 分散采购</w:t>
      </w:r>
    </w:p>
    <w:p w14:paraId="48022276">
      <w:pPr>
        <w:pStyle w:val="10"/>
        <w:jc w:val="left"/>
      </w:pPr>
      <w:r>
        <w:rPr>
          <w:rFonts w:ascii="仿宋_GB2312" w:hAnsi="仿宋_GB2312" w:eastAsia="仿宋_GB2312" w:cs="仿宋_GB2312"/>
        </w:rPr>
        <w:t>(5)政府采购方式：公开招标 邀请招标 竞争性谈判 竞争性磋商询价 单一来源 框架协议 其他：____________________</w:t>
      </w:r>
    </w:p>
    <w:p w14:paraId="4FB26866">
      <w:pPr>
        <w:pStyle w:val="10"/>
        <w:jc w:val="left"/>
      </w:pPr>
      <w:r>
        <w:rPr>
          <w:rFonts w:ascii="仿宋_GB2312" w:hAnsi="仿宋_GB2312" w:eastAsia="仿宋_GB2312" w:cs="仿宋_GB2312"/>
        </w:rPr>
        <w:t>(6)中标（成交）采购标的制造商是否为中小企业：是否</w:t>
      </w:r>
    </w:p>
    <w:p w14:paraId="5515AB08">
      <w:pPr>
        <w:pStyle w:val="10"/>
        <w:jc w:val="left"/>
      </w:pPr>
      <w:r>
        <w:rPr>
          <w:rFonts w:ascii="仿宋_GB2312" w:hAnsi="仿宋_GB2312" w:eastAsia="仿宋_GB2312" w:cs="仿宋_GB2312"/>
        </w:rPr>
        <w:t>本合同是否为专门面向中小企业的采购合同（中小企业预留合同）：是否</w:t>
      </w:r>
    </w:p>
    <w:p w14:paraId="505FDE5F">
      <w:pPr>
        <w:pStyle w:val="10"/>
        <w:jc w:val="left"/>
      </w:pPr>
      <w:r>
        <w:rPr>
          <w:rFonts w:ascii="仿宋_GB2312" w:hAnsi="仿宋_GB2312" w:eastAsia="仿宋_GB2312" w:cs="仿宋_GB2312"/>
        </w:rPr>
        <w:t>若本项目不专门面向中小企业采购，是否给予小微企业评审优惠：是否</w:t>
      </w:r>
    </w:p>
    <w:p w14:paraId="42ED6C6E">
      <w:pPr>
        <w:pStyle w:val="10"/>
        <w:jc w:val="left"/>
      </w:pPr>
      <w:r>
        <w:rPr>
          <w:rFonts w:ascii="仿宋_GB2312" w:hAnsi="仿宋_GB2312" w:eastAsia="仿宋_GB2312" w:cs="仿宋_GB2312"/>
        </w:rPr>
        <w:t>中标（成交）采购标的制造商是否为残疾人福利性单位：是否</w:t>
      </w:r>
    </w:p>
    <w:p w14:paraId="2AEA191E">
      <w:pPr>
        <w:pStyle w:val="10"/>
        <w:jc w:val="left"/>
      </w:pPr>
      <w:r>
        <w:rPr>
          <w:rFonts w:ascii="仿宋_GB2312" w:hAnsi="仿宋_GB2312" w:eastAsia="仿宋_GB2312" w:cs="仿宋_GB2312"/>
        </w:rPr>
        <w:t>中标（成交）采购标的制造商是否为监狱企业：是否</w:t>
      </w:r>
    </w:p>
    <w:p w14:paraId="6A67006B">
      <w:pPr>
        <w:pStyle w:val="10"/>
        <w:jc w:val="left"/>
      </w:pPr>
      <w:r>
        <w:rPr>
          <w:rFonts w:ascii="仿宋_GB2312" w:hAnsi="仿宋_GB2312" w:eastAsia="仿宋_GB2312" w:cs="仿宋_GB2312"/>
        </w:rPr>
        <w:t>(7)合同是否分包：是否</w:t>
      </w:r>
    </w:p>
    <w:p w14:paraId="48D60DAF">
      <w:pPr>
        <w:pStyle w:val="10"/>
        <w:jc w:val="left"/>
      </w:pPr>
      <w:r>
        <w:rPr>
          <w:rFonts w:ascii="仿宋_GB2312" w:hAnsi="仿宋_GB2312" w:eastAsia="仿宋_GB2312" w:cs="仿宋_GB2312"/>
        </w:rPr>
        <w:t>分包主要内容：________________________________________</w:t>
      </w:r>
    </w:p>
    <w:p w14:paraId="49DCFB09">
      <w:pPr>
        <w:pStyle w:val="10"/>
        <w:jc w:val="left"/>
      </w:pPr>
      <w:r>
        <w:rPr>
          <w:rFonts w:ascii="仿宋_GB2312" w:hAnsi="仿宋_GB2312" w:eastAsia="仿宋_GB2312" w:cs="仿宋_GB2312"/>
        </w:rPr>
        <w:t>分包供应商/制造商名称（如供应商和制造商不同，请分别填写）：</w:t>
      </w:r>
    </w:p>
    <w:p w14:paraId="7AA2852C">
      <w:pPr>
        <w:pStyle w:val="10"/>
        <w:jc w:val="left"/>
      </w:pPr>
      <w:r>
        <w:rPr>
          <w:rFonts w:ascii="仿宋_GB2312" w:hAnsi="仿宋_GB2312" w:eastAsia="仿宋_GB2312" w:cs="仿宋_GB2312"/>
        </w:rPr>
        <w:t>________________________________________</w:t>
      </w:r>
    </w:p>
    <w:p w14:paraId="25398A3F">
      <w:pPr>
        <w:pStyle w:val="10"/>
        <w:jc w:val="left"/>
      </w:pPr>
      <w:r>
        <w:rPr>
          <w:rFonts w:ascii="仿宋_GB2312" w:hAnsi="仿宋_GB2312" w:eastAsia="仿宋_GB2312" w:cs="仿宋_GB2312"/>
        </w:rPr>
        <w:t>分包供应商/制造商类型（如果供应商和制造商不同，只填写制造商类型）：</w:t>
      </w:r>
    </w:p>
    <w:p w14:paraId="31CA05CB">
      <w:pPr>
        <w:pStyle w:val="10"/>
        <w:jc w:val="left"/>
      </w:pPr>
      <w:r>
        <w:rPr>
          <w:rFonts w:ascii="仿宋_GB2312" w:hAnsi="仿宋_GB2312" w:eastAsia="仿宋_GB2312" w:cs="仿宋_GB2312"/>
        </w:rPr>
        <w:t>大型企业中型企业小微型企业</w:t>
      </w:r>
    </w:p>
    <w:p w14:paraId="40AEB8FE">
      <w:pPr>
        <w:pStyle w:val="10"/>
        <w:jc w:val="left"/>
      </w:pPr>
      <w:r>
        <w:rPr>
          <w:rFonts w:ascii="仿宋_GB2312" w:hAnsi="仿宋_GB2312" w:eastAsia="仿宋_GB2312" w:cs="仿宋_GB2312"/>
        </w:rPr>
        <w:t>残疾人福利性单位监狱企业其他</w:t>
      </w:r>
    </w:p>
    <w:p w14:paraId="0F9F0901">
      <w:pPr>
        <w:pStyle w:val="10"/>
        <w:jc w:val="left"/>
      </w:pPr>
      <w:r>
        <w:rPr>
          <w:rFonts w:ascii="仿宋_GB2312" w:hAnsi="仿宋_GB2312" w:eastAsia="仿宋_GB2312" w:cs="仿宋_GB2312"/>
        </w:rPr>
        <w:t>(8)中标（成交）供应商是否为外商投资企业：是否</w:t>
      </w:r>
    </w:p>
    <w:p w14:paraId="62C58F9C">
      <w:pPr>
        <w:pStyle w:val="10"/>
        <w:spacing w:line="300" w:lineRule="auto"/>
        <w:ind w:firstLine="840"/>
        <w:jc w:val="left"/>
      </w:pPr>
      <w:r>
        <w:rPr>
          <w:rFonts w:ascii="仿宋_GB2312" w:hAnsi="仿宋_GB2312" w:eastAsia="仿宋_GB2312" w:cs="仿宋_GB2312"/>
        </w:rPr>
        <w:t>外商投资企业类型：全部由外国投资者投资部分由外国投资者投资</w:t>
      </w:r>
    </w:p>
    <w:p w14:paraId="0768369A">
      <w:pPr>
        <w:pStyle w:val="10"/>
        <w:jc w:val="left"/>
      </w:pPr>
      <w:r>
        <w:rPr>
          <w:rFonts w:ascii="仿宋_GB2312" w:hAnsi="仿宋_GB2312" w:eastAsia="仿宋_GB2312" w:cs="仿宋_GB2312"/>
        </w:rPr>
        <w:t>（9）是否涉及进口产品：</w:t>
      </w:r>
    </w:p>
    <w:p w14:paraId="6A874247">
      <w:pPr>
        <w:pStyle w:val="10"/>
        <w:jc w:val="left"/>
      </w:pPr>
      <w:r>
        <w:rPr>
          <w:rFonts w:ascii="仿宋_GB2312" w:hAnsi="仿宋_GB2312" w:eastAsia="仿宋_GB2312" w:cs="仿宋_GB2312"/>
        </w:rPr>
        <w:t xml:space="preserve"> 是，《政府采购品目分类目录》底级品目名称：__________  金额：__________</w:t>
      </w:r>
    </w:p>
    <w:p w14:paraId="6AD580FB">
      <w:pPr>
        <w:pStyle w:val="10"/>
        <w:spacing w:line="300" w:lineRule="auto"/>
        <w:ind w:firstLine="1260"/>
        <w:jc w:val="left"/>
      </w:pPr>
      <w:r>
        <w:rPr>
          <w:rFonts w:ascii="仿宋_GB2312" w:hAnsi="仿宋_GB2312" w:eastAsia="仿宋_GB2312" w:cs="仿宋_GB2312"/>
        </w:rPr>
        <w:t>国别：__________  品牌：__________  规格型号__________</w:t>
      </w:r>
    </w:p>
    <w:p w14:paraId="4EE3276C">
      <w:pPr>
        <w:pStyle w:val="10"/>
        <w:spacing w:line="300" w:lineRule="auto"/>
        <w:ind w:firstLine="840"/>
        <w:jc w:val="left"/>
      </w:pPr>
      <w:r>
        <w:rPr>
          <w:rFonts w:ascii="仿宋_GB2312" w:hAnsi="仿宋_GB2312" w:eastAsia="仿宋_GB2312" w:cs="仿宋_GB2312"/>
        </w:rPr>
        <w:t xml:space="preserve"> 否</w:t>
      </w:r>
    </w:p>
    <w:p w14:paraId="7CE69821">
      <w:pPr>
        <w:pStyle w:val="10"/>
        <w:jc w:val="left"/>
      </w:pPr>
      <w:r>
        <w:rPr>
          <w:rFonts w:ascii="仿宋_GB2312" w:hAnsi="仿宋_GB2312" w:eastAsia="仿宋_GB2312" w:cs="仿宋_GB2312"/>
        </w:rPr>
        <w:t>（10）是否涉及节能产品：</w:t>
      </w:r>
    </w:p>
    <w:p w14:paraId="5C1A2995">
      <w:pPr>
        <w:pStyle w:val="10"/>
        <w:jc w:val="left"/>
      </w:pPr>
      <w:r>
        <w:rPr>
          <w:rFonts w:ascii="仿宋_GB2312" w:hAnsi="仿宋_GB2312" w:eastAsia="仿宋_GB2312" w:cs="仿宋_GB2312"/>
        </w:rPr>
        <w:t xml:space="preserve"> 是，《节能产品政府采购品目清单》的底级品目名称：__________</w:t>
      </w:r>
    </w:p>
    <w:p w14:paraId="4A3D81AD">
      <w:pPr>
        <w:pStyle w:val="10"/>
        <w:spacing w:line="300" w:lineRule="auto"/>
        <w:ind w:firstLine="1260"/>
        <w:jc w:val="left"/>
      </w:pPr>
      <w:r>
        <w:rPr>
          <w:rFonts w:ascii="仿宋_GB2312" w:hAnsi="仿宋_GB2312" w:eastAsia="仿宋_GB2312" w:cs="仿宋_GB2312"/>
        </w:rPr>
        <w:t xml:space="preserve"> 强制采购         优先采购</w:t>
      </w:r>
    </w:p>
    <w:p w14:paraId="0EE11640">
      <w:pPr>
        <w:pStyle w:val="10"/>
        <w:spacing w:line="300" w:lineRule="auto"/>
        <w:ind w:firstLine="840"/>
        <w:jc w:val="left"/>
      </w:pPr>
      <w:r>
        <w:rPr>
          <w:rFonts w:ascii="仿宋_GB2312" w:hAnsi="仿宋_GB2312" w:eastAsia="仿宋_GB2312" w:cs="仿宋_GB2312"/>
        </w:rPr>
        <w:t xml:space="preserve"> 否</w:t>
      </w:r>
    </w:p>
    <w:p w14:paraId="03076174">
      <w:pPr>
        <w:pStyle w:val="10"/>
        <w:ind w:firstLine="840"/>
        <w:jc w:val="left"/>
      </w:pPr>
      <w:r>
        <w:rPr>
          <w:rFonts w:ascii="仿宋_GB2312" w:hAnsi="仿宋_GB2312" w:eastAsia="仿宋_GB2312" w:cs="仿宋_GB2312"/>
        </w:rPr>
        <w:t>是否涉及环境标志产品：</w:t>
      </w:r>
    </w:p>
    <w:p w14:paraId="24F43590">
      <w:pPr>
        <w:pStyle w:val="10"/>
        <w:jc w:val="left"/>
      </w:pPr>
      <w:r>
        <w:rPr>
          <w:rFonts w:ascii="仿宋_GB2312" w:hAnsi="仿宋_GB2312" w:eastAsia="仿宋_GB2312" w:cs="仿宋_GB2312"/>
        </w:rPr>
        <w:t xml:space="preserve"> 是，《环境标志产品政府采购品目清单》的底级品目名称：__________</w:t>
      </w:r>
    </w:p>
    <w:p w14:paraId="0BB763F4">
      <w:pPr>
        <w:pStyle w:val="10"/>
        <w:spacing w:line="300" w:lineRule="auto"/>
        <w:ind w:firstLine="1260"/>
        <w:jc w:val="left"/>
      </w:pPr>
      <w:r>
        <w:rPr>
          <w:rFonts w:ascii="仿宋_GB2312" w:hAnsi="仿宋_GB2312" w:eastAsia="仿宋_GB2312" w:cs="仿宋_GB2312"/>
        </w:rPr>
        <w:t xml:space="preserve"> 强制采购         优先采购</w:t>
      </w:r>
    </w:p>
    <w:p w14:paraId="7EE44917">
      <w:pPr>
        <w:pStyle w:val="10"/>
        <w:spacing w:line="300" w:lineRule="auto"/>
        <w:ind w:firstLine="840"/>
        <w:jc w:val="left"/>
      </w:pPr>
      <w:r>
        <w:rPr>
          <w:rFonts w:ascii="仿宋_GB2312" w:hAnsi="仿宋_GB2312" w:eastAsia="仿宋_GB2312" w:cs="仿宋_GB2312"/>
        </w:rPr>
        <w:t xml:space="preserve"> 否</w:t>
      </w:r>
    </w:p>
    <w:p w14:paraId="4B447AAD">
      <w:pPr>
        <w:pStyle w:val="10"/>
        <w:ind w:firstLine="840"/>
        <w:jc w:val="left"/>
      </w:pPr>
      <w:r>
        <w:rPr>
          <w:rFonts w:ascii="仿宋_GB2312" w:hAnsi="仿宋_GB2312" w:eastAsia="仿宋_GB2312" w:cs="仿宋_GB2312"/>
        </w:rPr>
        <w:t>是否涉及绿色产品：</w:t>
      </w:r>
    </w:p>
    <w:p w14:paraId="407A92B4">
      <w:pPr>
        <w:pStyle w:val="10"/>
        <w:jc w:val="left"/>
      </w:pPr>
      <w:r>
        <w:rPr>
          <w:rFonts w:ascii="仿宋_GB2312" w:hAnsi="仿宋_GB2312" w:eastAsia="仿宋_GB2312" w:cs="仿宋_GB2312"/>
        </w:rPr>
        <w:t xml:space="preserve"> 是，绿色产品政府采购相关政策确定的底级品目名称：__________</w:t>
      </w:r>
    </w:p>
    <w:p w14:paraId="095F02D5">
      <w:pPr>
        <w:pStyle w:val="10"/>
        <w:spacing w:line="300" w:lineRule="auto"/>
        <w:ind w:firstLine="1260"/>
        <w:jc w:val="left"/>
      </w:pPr>
      <w:r>
        <w:rPr>
          <w:rFonts w:ascii="仿宋_GB2312" w:hAnsi="仿宋_GB2312" w:eastAsia="仿宋_GB2312" w:cs="仿宋_GB2312"/>
        </w:rPr>
        <w:t xml:space="preserve"> 强制采购         优先采购</w:t>
      </w:r>
    </w:p>
    <w:p w14:paraId="76E5F79F">
      <w:pPr>
        <w:pStyle w:val="10"/>
        <w:spacing w:line="300" w:lineRule="auto"/>
        <w:ind w:firstLine="840"/>
        <w:jc w:val="left"/>
      </w:pPr>
      <w:r>
        <w:rPr>
          <w:rFonts w:ascii="仿宋_GB2312" w:hAnsi="仿宋_GB2312" w:eastAsia="仿宋_GB2312" w:cs="仿宋_GB2312"/>
        </w:rPr>
        <w:t xml:space="preserve"> 否</w:t>
      </w:r>
    </w:p>
    <w:p w14:paraId="55D8C9E3">
      <w:pPr>
        <w:pStyle w:val="10"/>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5EA9E0F7">
      <w:pPr>
        <w:pStyle w:val="10"/>
        <w:jc w:val="left"/>
      </w:pPr>
      <w:r>
        <w:rPr>
          <w:rFonts w:ascii="仿宋_GB2312" w:hAnsi="仿宋_GB2312" w:eastAsia="仿宋_GB2312" w:cs="仿宋_GB2312"/>
        </w:rPr>
        <w:t>是         否        不涉及</w:t>
      </w:r>
    </w:p>
    <w:p w14:paraId="4E7FFC37">
      <w:pPr>
        <w:pStyle w:val="10"/>
        <w:jc w:val="left"/>
        <w:outlineLvl w:val="2"/>
      </w:pPr>
      <w:r>
        <w:rPr>
          <w:rFonts w:ascii="仿宋_GB2312" w:hAnsi="仿宋_GB2312" w:eastAsia="仿宋_GB2312" w:cs="仿宋_GB2312"/>
          <w:b/>
          <w:sz w:val="28"/>
        </w:rPr>
        <w:t>2.合同金额</w:t>
      </w:r>
    </w:p>
    <w:p w14:paraId="651933B6">
      <w:pPr>
        <w:pStyle w:val="10"/>
        <w:jc w:val="left"/>
      </w:pPr>
      <w:r>
        <w:rPr>
          <w:rFonts w:ascii="仿宋_GB2312" w:hAnsi="仿宋_GB2312" w:eastAsia="仿宋_GB2312" w:cs="仿宋_GB2312"/>
        </w:rPr>
        <w:t>（1）合同金额小写：____________________</w:t>
      </w:r>
    </w:p>
    <w:p w14:paraId="3A7EA5D8">
      <w:pPr>
        <w:pStyle w:val="10"/>
        <w:ind w:firstLine="1980"/>
        <w:jc w:val="left"/>
      </w:pPr>
      <w:r>
        <w:rPr>
          <w:rFonts w:ascii="仿宋_GB2312" w:hAnsi="仿宋_GB2312" w:eastAsia="仿宋_GB2312" w:cs="仿宋_GB2312"/>
        </w:rPr>
        <w:t>大写：____________________</w:t>
      </w:r>
    </w:p>
    <w:p w14:paraId="20D4331D">
      <w:pPr>
        <w:pStyle w:val="10"/>
        <w:jc w:val="left"/>
      </w:pPr>
      <w:r>
        <w:rPr>
          <w:rFonts w:ascii="仿宋_GB2312" w:hAnsi="仿宋_GB2312" w:eastAsia="仿宋_GB2312" w:cs="仿宋_GB2312"/>
        </w:rPr>
        <w:t xml:space="preserve">  分包金额（如有）小写：____________________</w:t>
      </w:r>
    </w:p>
    <w:p w14:paraId="788B936C">
      <w:pPr>
        <w:pStyle w:val="10"/>
        <w:ind w:firstLine="2820"/>
        <w:jc w:val="left"/>
      </w:pPr>
      <w:r>
        <w:rPr>
          <w:rFonts w:ascii="仿宋_GB2312" w:hAnsi="仿宋_GB2312" w:eastAsia="仿宋_GB2312" w:cs="仿宋_GB2312"/>
        </w:rPr>
        <w:t>大写：____________________</w:t>
      </w:r>
    </w:p>
    <w:p w14:paraId="571CAF81">
      <w:pPr>
        <w:pStyle w:val="10"/>
        <w:jc w:val="left"/>
      </w:pPr>
      <w:r>
        <w:rPr>
          <w:rFonts w:ascii="仿宋_GB2312" w:hAnsi="仿宋_GB2312" w:eastAsia="仿宋_GB2312" w:cs="仿宋_GB2312"/>
        </w:rPr>
        <w:t xml:space="preserve"> （注：固定单价合同应填写单价和最高限价）</w:t>
      </w:r>
    </w:p>
    <w:p w14:paraId="4EA01FBE">
      <w:pPr>
        <w:pStyle w:val="10"/>
        <w:jc w:val="left"/>
      </w:pPr>
      <w:r>
        <w:rPr>
          <w:rFonts w:ascii="仿宋_GB2312" w:hAnsi="仿宋_GB2312" w:eastAsia="仿宋_GB2312" w:cs="仿宋_GB2312"/>
        </w:rPr>
        <w:t>（2）合同定价方式（采用组合定价方式的，可以勾选多项）：</w:t>
      </w:r>
    </w:p>
    <w:p w14:paraId="3621CF67">
      <w:pPr>
        <w:pStyle w:val="10"/>
        <w:jc w:val="left"/>
      </w:pPr>
      <w:r>
        <w:rPr>
          <w:rFonts w:ascii="仿宋_GB2312" w:hAnsi="仿宋_GB2312" w:eastAsia="仿宋_GB2312" w:cs="仿宋_GB2312"/>
        </w:rPr>
        <w:t>固定总价固定单价成本补偿绩效激励其他__________</w:t>
      </w:r>
    </w:p>
    <w:p w14:paraId="0869E585">
      <w:pPr>
        <w:pStyle w:val="10"/>
        <w:jc w:val="left"/>
      </w:pPr>
      <w:r>
        <w:rPr>
          <w:rFonts w:ascii="仿宋_GB2312" w:hAnsi="仿宋_GB2312" w:eastAsia="仿宋_GB2312" w:cs="仿宋_GB2312"/>
        </w:rPr>
        <w:t>（3）付款方式（按项目实际勾选填写）：</w:t>
      </w:r>
    </w:p>
    <w:p w14:paraId="45B77784">
      <w:pPr>
        <w:pStyle w:val="10"/>
        <w:jc w:val="left"/>
      </w:pPr>
      <w:r>
        <w:rPr>
          <w:rFonts w:ascii="仿宋_GB2312" w:hAnsi="仿宋_GB2312" w:eastAsia="仿宋_GB2312" w:cs="仿宋_GB2312"/>
        </w:rPr>
        <w:t>全额付款：_______（应明确一次性支付合同款项的条件）_____________</w:t>
      </w:r>
    </w:p>
    <w:p w14:paraId="1FE175DA">
      <w:pPr>
        <w:pStyle w:val="10"/>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15CC7663">
      <w:pPr>
        <w:pStyle w:val="10"/>
        <w:jc w:val="left"/>
      </w:pPr>
      <w:r>
        <w:rPr>
          <w:rFonts w:ascii="仿宋_GB2312" w:hAnsi="仿宋_GB2312" w:eastAsia="仿宋_GB2312" w:cs="仿宋_GB2312"/>
        </w:rPr>
        <w:t>成本补偿：_______（应明确按照成本补偿方式的支付方式和支付条件）___________</w:t>
      </w:r>
    </w:p>
    <w:p w14:paraId="29849FE6">
      <w:pPr>
        <w:pStyle w:val="10"/>
        <w:jc w:val="left"/>
      </w:pPr>
      <w:r>
        <w:rPr>
          <w:rFonts w:ascii="仿宋_GB2312" w:hAnsi="仿宋_GB2312" w:eastAsia="仿宋_GB2312" w:cs="仿宋_GB2312"/>
        </w:rPr>
        <w:t>绩效激励：_______（应明确按照绩效激励方式的支付方式和支付条件）_________</w:t>
      </w:r>
    </w:p>
    <w:p w14:paraId="70FC90EB">
      <w:pPr>
        <w:pStyle w:val="10"/>
        <w:jc w:val="left"/>
        <w:outlineLvl w:val="2"/>
      </w:pPr>
      <w:r>
        <w:rPr>
          <w:rFonts w:ascii="仿宋_GB2312" w:hAnsi="仿宋_GB2312" w:eastAsia="仿宋_GB2312" w:cs="仿宋_GB2312"/>
          <w:b/>
          <w:sz w:val="28"/>
        </w:rPr>
        <w:t>3.合同履行</w:t>
      </w:r>
    </w:p>
    <w:p w14:paraId="4373017B">
      <w:pPr>
        <w:pStyle w:val="10"/>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1C2B49BB">
      <w:pPr>
        <w:pStyle w:val="10"/>
        <w:jc w:val="left"/>
      </w:pPr>
      <w:r>
        <w:rPr>
          <w:rFonts w:ascii="仿宋_GB2312" w:hAnsi="仿宋_GB2312" w:eastAsia="仿宋_GB2312" w:cs="仿宋_GB2312"/>
        </w:rPr>
        <w:t>（2）履约地点：____________________</w:t>
      </w:r>
    </w:p>
    <w:p w14:paraId="217485D1">
      <w:pPr>
        <w:pStyle w:val="10"/>
        <w:jc w:val="left"/>
      </w:pPr>
      <w:r>
        <w:rPr>
          <w:rFonts w:ascii="仿宋_GB2312" w:hAnsi="仿宋_GB2312" w:eastAsia="仿宋_GB2312" w:cs="仿宋_GB2312"/>
        </w:rPr>
        <w:t>（3）履约担保：</w:t>
      </w:r>
    </w:p>
    <w:p w14:paraId="4ED8B5A4">
      <w:pPr>
        <w:pStyle w:val="10"/>
        <w:jc w:val="left"/>
      </w:pPr>
      <w:r>
        <w:rPr>
          <w:rFonts w:ascii="仿宋_GB2312" w:hAnsi="仿宋_GB2312" w:eastAsia="仿宋_GB2312" w:cs="仿宋_GB2312"/>
        </w:rPr>
        <w:t>是否收取履约保证金：是 否</w:t>
      </w:r>
    </w:p>
    <w:p w14:paraId="2BDE6E17">
      <w:pPr>
        <w:pStyle w:val="10"/>
        <w:jc w:val="left"/>
      </w:pPr>
      <w:r>
        <w:rPr>
          <w:rFonts w:ascii="仿宋_GB2312" w:hAnsi="仿宋_GB2312" w:eastAsia="仿宋_GB2312" w:cs="仿宋_GB2312"/>
        </w:rPr>
        <w:t>收取履约保证金形式：____________________</w:t>
      </w:r>
    </w:p>
    <w:p w14:paraId="1A9753F6">
      <w:pPr>
        <w:pStyle w:val="10"/>
        <w:jc w:val="left"/>
      </w:pPr>
      <w:r>
        <w:rPr>
          <w:rFonts w:ascii="仿宋_GB2312" w:hAnsi="仿宋_GB2312" w:eastAsia="仿宋_GB2312" w:cs="仿宋_GB2312"/>
        </w:rPr>
        <w:t>收取履约保证金金额：____________________</w:t>
      </w:r>
    </w:p>
    <w:p w14:paraId="4CB192C6">
      <w:pPr>
        <w:pStyle w:val="10"/>
        <w:jc w:val="left"/>
      </w:pPr>
      <w:r>
        <w:rPr>
          <w:rFonts w:ascii="仿宋_GB2312" w:hAnsi="仿宋_GB2312" w:eastAsia="仿宋_GB2312" w:cs="仿宋_GB2312"/>
        </w:rPr>
        <w:t>履约担保期限：____________________</w:t>
      </w:r>
    </w:p>
    <w:p w14:paraId="04AC832D">
      <w:pPr>
        <w:pStyle w:val="10"/>
        <w:ind w:firstLine="510"/>
        <w:jc w:val="left"/>
      </w:pPr>
      <w:r>
        <w:rPr>
          <w:rFonts w:ascii="仿宋_GB2312" w:hAnsi="仿宋_GB2312" w:eastAsia="仿宋_GB2312" w:cs="仿宋_GB2312"/>
        </w:rPr>
        <w:t>履约担保期限：____________________</w:t>
      </w:r>
    </w:p>
    <w:p w14:paraId="242D0379">
      <w:pPr>
        <w:pStyle w:val="10"/>
        <w:jc w:val="left"/>
      </w:pPr>
      <w:r>
        <w:rPr>
          <w:rFonts w:ascii="仿宋_GB2312" w:hAnsi="仿宋_GB2312" w:eastAsia="仿宋_GB2312" w:cs="仿宋_GB2312"/>
        </w:rPr>
        <w:t>（4）分期履行要求：____________________</w:t>
      </w:r>
    </w:p>
    <w:p w14:paraId="1AC12B76">
      <w:pPr>
        <w:pStyle w:val="10"/>
        <w:jc w:val="left"/>
      </w:pPr>
      <w:r>
        <w:rPr>
          <w:rFonts w:ascii="仿宋_GB2312" w:hAnsi="仿宋_GB2312" w:eastAsia="仿宋_GB2312" w:cs="仿宋_GB2312"/>
        </w:rPr>
        <w:t>（5）风险处置措施和替代方案：____________________</w:t>
      </w:r>
    </w:p>
    <w:p w14:paraId="4F5CEBE0">
      <w:pPr>
        <w:pStyle w:val="10"/>
        <w:jc w:val="left"/>
        <w:outlineLvl w:val="2"/>
      </w:pPr>
      <w:r>
        <w:rPr>
          <w:rFonts w:ascii="仿宋_GB2312" w:hAnsi="仿宋_GB2312" w:eastAsia="仿宋_GB2312" w:cs="仿宋_GB2312"/>
          <w:b/>
          <w:sz w:val="28"/>
        </w:rPr>
        <w:t>4.合同验收</w:t>
      </w:r>
    </w:p>
    <w:p w14:paraId="55922894">
      <w:pPr>
        <w:pStyle w:val="10"/>
        <w:jc w:val="left"/>
      </w:pPr>
      <w:r>
        <w:rPr>
          <w:rFonts w:ascii="仿宋_GB2312" w:hAnsi="仿宋_GB2312" w:eastAsia="仿宋_GB2312" w:cs="仿宋_GB2312"/>
        </w:rPr>
        <w:t>（1）验收组织方式：自行验收委托第三方验收</w:t>
      </w:r>
    </w:p>
    <w:p w14:paraId="6EF9E89C">
      <w:pPr>
        <w:pStyle w:val="10"/>
        <w:jc w:val="left"/>
      </w:pPr>
      <w:r>
        <w:rPr>
          <w:rFonts w:ascii="仿宋_GB2312" w:hAnsi="仿宋_GB2312" w:eastAsia="仿宋_GB2312" w:cs="仿宋_GB2312"/>
        </w:rPr>
        <w:t>验收主体：____________________</w:t>
      </w:r>
    </w:p>
    <w:p w14:paraId="648287D6">
      <w:pPr>
        <w:pStyle w:val="10"/>
        <w:jc w:val="left"/>
      </w:pPr>
      <w:r>
        <w:rPr>
          <w:rFonts w:ascii="仿宋_GB2312" w:hAnsi="仿宋_GB2312" w:eastAsia="仿宋_GB2312" w:cs="仿宋_GB2312"/>
        </w:rPr>
        <w:t>是否邀请本项目的其他供应商参加验收：是否</w:t>
      </w:r>
    </w:p>
    <w:p w14:paraId="529CE645">
      <w:pPr>
        <w:pStyle w:val="10"/>
        <w:jc w:val="left"/>
      </w:pPr>
      <w:r>
        <w:rPr>
          <w:rFonts w:ascii="仿宋_GB2312" w:hAnsi="仿宋_GB2312" w:eastAsia="仿宋_GB2312" w:cs="仿宋_GB2312"/>
        </w:rPr>
        <w:t>是否邀请专家参加验收：是否</w:t>
      </w:r>
    </w:p>
    <w:p w14:paraId="55709997">
      <w:pPr>
        <w:pStyle w:val="10"/>
        <w:jc w:val="left"/>
      </w:pPr>
      <w:r>
        <w:rPr>
          <w:rFonts w:ascii="仿宋_GB2312" w:hAnsi="仿宋_GB2312" w:eastAsia="仿宋_GB2312" w:cs="仿宋_GB2312"/>
        </w:rPr>
        <w:t>是否邀请服务对象参加验收：是否</w:t>
      </w:r>
    </w:p>
    <w:p w14:paraId="5C5E1383">
      <w:pPr>
        <w:pStyle w:val="10"/>
        <w:jc w:val="left"/>
      </w:pPr>
      <w:r>
        <w:rPr>
          <w:rFonts w:ascii="仿宋_GB2312" w:hAnsi="仿宋_GB2312" w:eastAsia="仿宋_GB2312" w:cs="仿宋_GB2312"/>
        </w:rPr>
        <w:t>是否邀请第三方检测机构参加验收：是否</w:t>
      </w:r>
    </w:p>
    <w:p w14:paraId="11D44386">
      <w:pPr>
        <w:pStyle w:val="10"/>
        <w:jc w:val="left"/>
      </w:pPr>
      <w:r>
        <w:rPr>
          <w:rFonts w:ascii="仿宋_GB2312" w:hAnsi="仿宋_GB2312" w:eastAsia="仿宋_GB2312" w:cs="仿宋_GB2312"/>
        </w:rPr>
        <w:t>是否进行抽查检测： 是，抽查比例：__________%否</w:t>
      </w:r>
    </w:p>
    <w:p w14:paraId="64E335B0">
      <w:pPr>
        <w:pStyle w:val="10"/>
        <w:jc w:val="left"/>
      </w:pPr>
      <w:r>
        <w:rPr>
          <w:rFonts w:ascii="仿宋_GB2312" w:hAnsi="仿宋_GB2312" w:eastAsia="仿宋_GB2312" w:cs="仿宋_GB2312"/>
        </w:rPr>
        <w:t>是否存在破坏性检测： 是，__________否</w:t>
      </w:r>
    </w:p>
    <w:p w14:paraId="29118DAE">
      <w:pPr>
        <w:pStyle w:val="10"/>
        <w:jc w:val="left"/>
      </w:pPr>
      <w:r>
        <w:rPr>
          <w:rFonts w:ascii="仿宋_GB2312" w:hAnsi="仿宋_GB2312" w:eastAsia="仿宋_GB2312" w:cs="仿宋_GB2312"/>
        </w:rPr>
        <w:t>验收组织的其他事项：____________________</w:t>
      </w:r>
    </w:p>
    <w:p w14:paraId="2913DD01">
      <w:pPr>
        <w:pStyle w:val="10"/>
        <w:jc w:val="left"/>
      </w:pPr>
      <w:r>
        <w:rPr>
          <w:rFonts w:ascii="仿宋_GB2312" w:hAnsi="仿宋_GB2312" w:eastAsia="仿宋_GB2312" w:cs="仿宋_GB2312"/>
        </w:rPr>
        <w:t>（2）履约验收时间：计划于何时验收/供应商提出验收申请之日起_______日内组织验收</w:t>
      </w:r>
    </w:p>
    <w:p w14:paraId="1C3FF8F2">
      <w:pPr>
        <w:pStyle w:val="10"/>
        <w:jc w:val="left"/>
      </w:pPr>
      <w:r>
        <w:rPr>
          <w:rFonts w:ascii="仿宋_GB2312" w:hAnsi="仿宋_GB2312" w:eastAsia="仿宋_GB2312" w:cs="仿宋_GB2312"/>
        </w:rPr>
        <w:t>（3）履约验收方式：一次性验收分期/分项验收：__________</w:t>
      </w:r>
    </w:p>
    <w:p w14:paraId="24AF44DB">
      <w:pPr>
        <w:pStyle w:val="10"/>
        <w:jc w:val="left"/>
      </w:pPr>
      <w:r>
        <w:rPr>
          <w:rFonts w:ascii="仿宋_GB2312" w:hAnsi="仿宋_GB2312" w:eastAsia="仿宋_GB2312" w:cs="仿宋_GB2312"/>
        </w:rPr>
        <w:t>（4）履约验收程序：____________________</w:t>
      </w:r>
    </w:p>
    <w:p w14:paraId="764A314A">
      <w:pPr>
        <w:pStyle w:val="10"/>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03C99E42">
      <w:pPr>
        <w:pStyle w:val="10"/>
        <w:jc w:val="left"/>
      </w:pPr>
      <w:r>
        <w:rPr>
          <w:rFonts w:ascii="仿宋_GB2312" w:hAnsi="仿宋_GB2312" w:eastAsia="仿宋_GB2312" w:cs="仿宋_GB2312"/>
        </w:rPr>
        <w:t>（6）履约验收标准：_____________________________</w:t>
      </w:r>
    </w:p>
    <w:p w14:paraId="30EC7F57">
      <w:pPr>
        <w:pStyle w:val="10"/>
        <w:jc w:val="left"/>
      </w:pPr>
      <w:r>
        <w:rPr>
          <w:rFonts w:ascii="仿宋_GB2312" w:hAnsi="仿宋_GB2312" w:eastAsia="仿宋_GB2312" w:cs="仿宋_GB2312"/>
        </w:rPr>
        <w:t>（7）是否以采购活动中供应商提供的样品作为参考：是否</w:t>
      </w:r>
    </w:p>
    <w:p w14:paraId="53485896">
      <w:pPr>
        <w:pStyle w:val="10"/>
        <w:jc w:val="left"/>
      </w:pPr>
      <w:r>
        <w:rPr>
          <w:rFonts w:ascii="仿宋_GB2312" w:hAnsi="仿宋_GB2312" w:eastAsia="仿宋_GB2312" w:cs="仿宋_GB2312"/>
        </w:rPr>
        <w:t>（8）履约验收其他事项：_______________</w:t>
      </w:r>
    </w:p>
    <w:p w14:paraId="41606275">
      <w:pPr>
        <w:pStyle w:val="10"/>
        <w:jc w:val="left"/>
        <w:outlineLvl w:val="2"/>
      </w:pPr>
      <w:r>
        <w:rPr>
          <w:rFonts w:ascii="仿宋_GB2312" w:hAnsi="仿宋_GB2312" w:eastAsia="仿宋_GB2312" w:cs="仿宋_GB2312"/>
          <w:b/>
          <w:sz w:val="28"/>
        </w:rPr>
        <w:t>5.组成合同的文件</w:t>
      </w:r>
    </w:p>
    <w:p w14:paraId="48D5C1DD">
      <w:pPr>
        <w:pStyle w:val="10"/>
        <w:jc w:val="left"/>
      </w:pPr>
      <w:r>
        <w:rPr>
          <w:rFonts w:ascii="仿宋_GB2312" w:hAnsi="仿宋_GB2312" w:eastAsia="仿宋_GB2312" w:cs="仿宋_GB2312"/>
        </w:rPr>
        <w:t>本协议书与下列文件一起构成合同文件，如下述文件之间有任何抵触、矛盾或歧义，应按以下顺序解释：</w:t>
      </w:r>
    </w:p>
    <w:p w14:paraId="4B61E802">
      <w:pPr>
        <w:pStyle w:val="10"/>
        <w:jc w:val="left"/>
      </w:pPr>
      <w:r>
        <w:rPr>
          <w:rFonts w:ascii="仿宋_GB2312" w:hAnsi="仿宋_GB2312" w:eastAsia="仿宋_GB2312" w:cs="仿宋_GB2312"/>
        </w:rPr>
        <w:t>（1）政府采购合同协议书及其变更、补充协议</w:t>
      </w:r>
    </w:p>
    <w:p w14:paraId="5451B9AF">
      <w:pPr>
        <w:pStyle w:val="10"/>
        <w:jc w:val="left"/>
      </w:pPr>
      <w:r>
        <w:rPr>
          <w:rFonts w:ascii="仿宋_GB2312" w:hAnsi="仿宋_GB2312" w:eastAsia="仿宋_GB2312" w:cs="仿宋_GB2312"/>
        </w:rPr>
        <w:t>（2）政府采购合同专用条款</w:t>
      </w:r>
    </w:p>
    <w:p w14:paraId="3252F266">
      <w:pPr>
        <w:pStyle w:val="10"/>
        <w:jc w:val="left"/>
      </w:pPr>
      <w:r>
        <w:rPr>
          <w:rFonts w:ascii="仿宋_GB2312" w:hAnsi="仿宋_GB2312" w:eastAsia="仿宋_GB2312" w:cs="仿宋_GB2312"/>
        </w:rPr>
        <w:t>（3）政府采购合同通用条款</w:t>
      </w:r>
    </w:p>
    <w:p w14:paraId="3DEBCD57">
      <w:pPr>
        <w:pStyle w:val="10"/>
        <w:jc w:val="left"/>
      </w:pPr>
      <w:r>
        <w:rPr>
          <w:rFonts w:ascii="仿宋_GB2312" w:hAnsi="仿宋_GB2312" w:eastAsia="仿宋_GB2312" w:cs="仿宋_GB2312"/>
        </w:rPr>
        <w:t>（4）中标（成交）通知书</w:t>
      </w:r>
    </w:p>
    <w:p w14:paraId="7F15CAFD">
      <w:pPr>
        <w:pStyle w:val="10"/>
        <w:jc w:val="left"/>
      </w:pPr>
      <w:r>
        <w:rPr>
          <w:rFonts w:ascii="仿宋_GB2312" w:hAnsi="仿宋_GB2312" w:eastAsia="仿宋_GB2312" w:cs="仿宋_GB2312"/>
        </w:rPr>
        <w:t>（5）投标（响应）文件</w:t>
      </w:r>
    </w:p>
    <w:p w14:paraId="1E25F0EE">
      <w:pPr>
        <w:pStyle w:val="10"/>
        <w:jc w:val="left"/>
      </w:pPr>
      <w:r>
        <w:rPr>
          <w:rFonts w:ascii="仿宋_GB2312" w:hAnsi="仿宋_GB2312" w:eastAsia="仿宋_GB2312" w:cs="仿宋_GB2312"/>
        </w:rPr>
        <w:t>（6）采购文件</w:t>
      </w:r>
    </w:p>
    <w:p w14:paraId="5035FA95">
      <w:pPr>
        <w:pStyle w:val="10"/>
        <w:jc w:val="left"/>
      </w:pPr>
      <w:r>
        <w:rPr>
          <w:rFonts w:ascii="仿宋_GB2312" w:hAnsi="仿宋_GB2312" w:eastAsia="仿宋_GB2312" w:cs="仿宋_GB2312"/>
        </w:rPr>
        <w:t>（7）有关技术文件，图纸</w:t>
      </w:r>
    </w:p>
    <w:p w14:paraId="00C4F45B">
      <w:pPr>
        <w:pStyle w:val="10"/>
        <w:jc w:val="left"/>
      </w:pPr>
      <w:r>
        <w:rPr>
          <w:rFonts w:ascii="仿宋_GB2312" w:hAnsi="仿宋_GB2312" w:eastAsia="仿宋_GB2312" w:cs="仿宋_GB2312"/>
        </w:rPr>
        <w:t>（8）国家法律、行政法规和规章制度规定或合同约定的作为合同组成部分的其他文件</w:t>
      </w:r>
    </w:p>
    <w:p w14:paraId="20077861">
      <w:pPr>
        <w:pStyle w:val="10"/>
        <w:jc w:val="left"/>
        <w:outlineLvl w:val="2"/>
      </w:pPr>
      <w:r>
        <w:rPr>
          <w:rFonts w:ascii="仿宋_GB2312" w:hAnsi="仿宋_GB2312" w:eastAsia="仿宋_GB2312" w:cs="仿宋_GB2312"/>
          <w:b/>
          <w:sz w:val="28"/>
        </w:rPr>
        <w:t>6.合同生效</w:t>
      </w:r>
    </w:p>
    <w:p w14:paraId="70999966">
      <w:pPr>
        <w:pStyle w:val="10"/>
        <w:jc w:val="left"/>
      </w:pPr>
      <w:r>
        <w:rPr>
          <w:rFonts w:ascii="仿宋_GB2312" w:hAnsi="仿宋_GB2312" w:eastAsia="仿宋_GB2312" w:cs="仿宋_GB2312"/>
        </w:rPr>
        <w:t>本合同自____________________生效。</w:t>
      </w:r>
    </w:p>
    <w:p w14:paraId="18D066FD">
      <w:pPr>
        <w:pStyle w:val="10"/>
        <w:jc w:val="left"/>
        <w:outlineLvl w:val="2"/>
      </w:pPr>
      <w:r>
        <w:rPr>
          <w:rFonts w:ascii="仿宋_GB2312" w:hAnsi="仿宋_GB2312" w:eastAsia="仿宋_GB2312" w:cs="仿宋_GB2312"/>
          <w:b/>
          <w:sz w:val="28"/>
        </w:rPr>
        <w:t>7.合同份数</w:t>
      </w:r>
    </w:p>
    <w:p w14:paraId="31CDBD75">
      <w:pPr>
        <w:pStyle w:val="10"/>
        <w:jc w:val="left"/>
      </w:pPr>
      <w:r>
        <w:rPr>
          <w:rFonts w:ascii="仿宋_GB2312" w:hAnsi="仿宋_GB2312" w:eastAsia="仿宋_GB2312" w:cs="仿宋_GB2312"/>
        </w:rPr>
        <w:t>本合同一式 _______ 份，甲方执 _______ 份，乙方执 _______ 份，均具有同等法律效力。</w:t>
      </w:r>
    </w:p>
    <w:p w14:paraId="450A80D2">
      <w:pPr>
        <w:pStyle w:val="10"/>
        <w:jc w:val="left"/>
      </w:pPr>
      <w:r>
        <w:rPr>
          <w:rFonts w:ascii="仿宋_GB2312" w:hAnsi="仿宋_GB2312" w:eastAsia="仿宋_GB2312" w:cs="仿宋_GB2312"/>
        </w:rPr>
        <w:t>合同订立时间：详见本合同封面的签订时间。</w:t>
      </w:r>
    </w:p>
    <w:p w14:paraId="4528B06B">
      <w:pPr>
        <w:pStyle w:val="10"/>
        <w:jc w:val="left"/>
      </w:pPr>
      <w:r>
        <w:rPr>
          <w:rFonts w:ascii="仿宋_GB2312" w:hAnsi="仿宋_GB2312" w:eastAsia="仿宋_GB2312" w:cs="仿宋_GB2312"/>
        </w:rPr>
        <w:t>合同订立地点： ____________________________</w:t>
      </w:r>
    </w:p>
    <w:p w14:paraId="7A605A10">
      <w:pPr>
        <w:pStyle w:val="10"/>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6D1527C2">
      <w:pPr>
        <w:pStyle w:val="10"/>
        <w:jc w:val="left"/>
      </w:pPr>
      <w:r>
        <w:rPr>
          <w:rFonts w:ascii="仿宋_GB2312" w:hAnsi="仿宋_GB2312" w:eastAsia="仿宋_GB2312" w:cs="仿宋_GB2312"/>
        </w:rPr>
        <w:t>甲方（采购人、受采购人委托签订合同的单位或采购文件约定的合同甲方）</w:t>
      </w:r>
    </w:p>
    <w:p w14:paraId="32423C1C">
      <w:pPr>
        <w:pStyle w:val="10"/>
        <w:jc w:val="left"/>
      </w:pPr>
      <w:r>
        <w:rPr>
          <w:rFonts w:ascii="仿宋_GB2312" w:hAnsi="仿宋_GB2312" w:eastAsia="仿宋_GB2312" w:cs="仿宋_GB2312"/>
        </w:rPr>
        <w:t xml:space="preserve"> 单位名称（公章或合同章）： {{未填写}}（盖章）</w:t>
      </w:r>
    </w:p>
    <w:p w14:paraId="27ABE3C3">
      <w:pPr>
        <w:pStyle w:val="10"/>
        <w:jc w:val="left"/>
      </w:pPr>
      <w:r>
        <w:rPr>
          <w:rFonts w:ascii="仿宋_GB2312" w:hAnsi="仿宋_GB2312" w:eastAsia="仿宋_GB2312" w:cs="仿宋_GB2312"/>
        </w:rPr>
        <w:t xml:space="preserve"> 法定代表人或其委托代理人（签章）：{{未填写}}</w:t>
      </w:r>
    </w:p>
    <w:p w14:paraId="388AC858">
      <w:pPr>
        <w:pStyle w:val="10"/>
        <w:jc w:val="left"/>
      </w:pPr>
      <w:r>
        <w:rPr>
          <w:rFonts w:ascii="仿宋_GB2312" w:hAnsi="仿宋_GB2312" w:eastAsia="仿宋_GB2312" w:cs="仿宋_GB2312"/>
        </w:rPr>
        <w:t xml:space="preserve"> 住 所：{{未填写}}</w:t>
      </w:r>
    </w:p>
    <w:p w14:paraId="5EDDB2C1">
      <w:pPr>
        <w:pStyle w:val="10"/>
        <w:jc w:val="left"/>
      </w:pPr>
      <w:r>
        <w:rPr>
          <w:rFonts w:ascii="仿宋_GB2312" w:hAnsi="仿宋_GB2312" w:eastAsia="仿宋_GB2312" w:cs="仿宋_GB2312"/>
        </w:rPr>
        <w:t xml:space="preserve"> 联 系 人：{{未填写}}</w:t>
      </w:r>
    </w:p>
    <w:p w14:paraId="5365BE21">
      <w:pPr>
        <w:pStyle w:val="10"/>
        <w:jc w:val="left"/>
      </w:pPr>
      <w:r>
        <w:rPr>
          <w:rFonts w:ascii="仿宋_GB2312" w:hAnsi="仿宋_GB2312" w:eastAsia="仿宋_GB2312" w:cs="仿宋_GB2312"/>
        </w:rPr>
        <w:t xml:space="preserve"> 联系电话：{{未填写}}</w:t>
      </w:r>
    </w:p>
    <w:p w14:paraId="19CD11BA">
      <w:pPr>
        <w:pStyle w:val="10"/>
        <w:jc w:val="left"/>
      </w:pPr>
      <w:r>
        <w:rPr>
          <w:rFonts w:ascii="仿宋_GB2312" w:hAnsi="仿宋_GB2312" w:eastAsia="仿宋_GB2312" w:cs="仿宋_GB2312"/>
        </w:rPr>
        <w:t xml:space="preserve"> 通信地址：{{未填写}}</w:t>
      </w:r>
    </w:p>
    <w:p w14:paraId="2411334E">
      <w:pPr>
        <w:pStyle w:val="10"/>
        <w:jc w:val="left"/>
      </w:pPr>
      <w:r>
        <w:rPr>
          <w:rFonts w:ascii="仿宋_GB2312" w:hAnsi="仿宋_GB2312" w:eastAsia="仿宋_GB2312" w:cs="仿宋_GB2312"/>
        </w:rPr>
        <w:t xml:space="preserve"> 邮政编码：{{未填写}}</w:t>
      </w:r>
    </w:p>
    <w:p w14:paraId="0F804EAC">
      <w:pPr>
        <w:pStyle w:val="10"/>
        <w:jc w:val="left"/>
      </w:pPr>
      <w:r>
        <w:rPr>
          <w:rFonts w:ascii="仿宋_GB2312" w:hAnsi="仿宋_GB2312" w:eastAsia="仿宋_GB2312" w:cs="仿宋_GB2312"/>
        </w:rPr>
        <w:t xml:space="preserve"> 电子邮箱：{{未填写}}</w:t>
      </w:r>
    </w:p>
    <w:p w14:paraId="688214DE">
      <w:pPr>
        <w:pStyle w:val="10"/>
        <w:jc w:val="left"/>
      </w:pPr>
      <w:r>
        <w:rPr>
          <w:rFonts w:ascii="仿宋_GB2312" w:hAnsi="仿宋_GB2312" w:eastAsia="仿宋_GB2312" w:cs="仿宋_GB2312"/>
        </w:rPr>
        <w:t xml:space="preserve"> 统一社会信用代码：{{未填写}}</w:t>
      </w:r>
    </w:p>
    <w:p w14:paraId="2692839B">
      <w:pPr>
        <w:pStyle w:val="10"/>
        <w:jc w:val="left"/>
      </w:pPr>
      <w:r>
        <w:rPr>
          <w:rFonts w:ascii="仿宋_GB2312" w:hAnsi="仿宋_GB2312" w:eastAsia="仿宋_GB2312" w:cs="仿宋_GB2312"/>
        </w:rPr>
        <w:t xml:space="preserve"> </w:t>
      </w:r>
    </w:p>
    <w:p w14:paraId="4484C926">
      <w:pPr>
        <w:pStyle w:val="10"/>
        <w:jc w:val="center"/>
        <w:outlineLvl w:val="1"/>
      </w:pPr>
      <w:r>
        <w:rPr>
          <w:rFonts w:ascii="仿宋_GB2312" w:hAnsi="仿宋_GB2312" w:eastAsia="仿宋_GB2312" w:cs="仿宋_GB2312"/>
          <w:b/>
          <w:sz w:val="36"/>
        </w:rPr>
        <w:t>第二节 政府采购合同通用条款</w:t>
      </w:r>
    </w:p>
    <w:p w14:paraId="54329462">
      <w:pPr>
        <w:pStyle w:val="10"/>
        <w:jc w:val="left"/>
        <w:outlineLvl w:val="2"/>
      </w:pPr>
      <w:r>
        <w:rPr>
          <w:rFonts w:ascii="仿宋_GB2312" w:hAnsi="仿宋_GB2312" w:eastAsia="仿宋_GB2312" w:cs="仿宋_GB2312"/>
          <w:b/>
          <w:sz w:val="28"/>
        </w:rPr>
        <w:t>1. 定义</w:t>
      </w:r>
    </w:p>
    <w:p w14:paraId="71CAE03A">
      <w:pPr>
        <w:pStyle w:val="10"/>
        <w:jc w:val="left"/>
      </w:pPr>
      <w:r>
        <w:rPr>
          <w:rFonts w:ascii="仿宋_GB2312" w:hAnsi="仿宋_GB2312" w:eastAsia="仿宋_GB2312" w:cs="仿宋_GB2312"/>
        </w:rPr>
        <w:t>1.1合同当事人</w:t>
      </w:r>
    </w:p>
    <w:p w14:paraId="6ED8B143">
      <w:pPr>
        <w:pStyle w:val="10"/>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6773E225">
      <w:pPr>
        <w:pStyle w:val="10"/>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5B31E782">
      <w:pPr>
        <w:pStyle w:val="10"/>
        <w:jc w:val="left"/>
      </w:pPr>
      <w:r>
        <w:rPr>
          <w:rFonts w:ascii="仿宋_GB2312" w:hAnsi="仿宋_GB2312" w:eastAsia="仿宋_GB2312" w:cs="仿宋_GB2312"/>
        </w:rPr>
        <w:t>（3）其他合同主体是指除采购人和供应商以外，依法参与合同缔结或履行，享有权利、承担义务的合同当事人。</w:t>
      </w:r>
    </w:p>
    <w:p w14:paraId="294A81C3">
      <w:pPr>
        <w:pStyle w:val="10"/>
        <w:jc w:val="left"/>
      </w:pPr>
      <w:r>
        <w:rPr>
          <w:rFonts w:ascii="仿宋_GB2312" w:hAnsi="仿宋_GB2312" w:eastAsia="仿宋_GB2312" w:cs="仿宋_GB2312"/>
        </w:rPr>
        <w:t>1.2本合同下列术语应解释为：</w:t>
      </w:r>
    </w:p>
    <w:p w14:paraId="69FFB3F0">
      <w:pPr>
        <w:pStyle w:val="10"/>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1A52CE8">
      <w:pPr>
        <w:pStyle w:val="10"/>
        <w:jc w:val="left"/>
      </w:pPr>
      <w:r>
        <w:rPr>
          <w:rFonts w:ascii="仿宋_GB2312" w:hAnsi="仿宋_GB2312" w:eastAsia="仿宋_GB2312" w:cs="仿宋_GB2312"/>
        </w:rPr>
        <w:t>（2）“合同价款”系指根据本合同规定乙方在全面履行合同义务后甲方应支付给乙方的价款。</w:t>
      </w:r>
    </w:p>
    <w:p w14:paraId="0AF023D6">
      <w:pPr>
        <w:pStyle w:val="10"/>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69627FCE">
      <w:pPr>
        <w:pStyle w:val="10"/>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6D20B96">
      <w:pPr>
        <w:pStyle w:val="10"/>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122C07C5">
      <w:pPr>
        <w:pStyle w:val="10"/>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35A94468">
      <w:pPr>
        <w:pStyle w:val="10"/>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633DD456">
      <w:pPr>
        <w:pStyle w:val="10"/>
        <w:jc w:val="left"/>
        <w:outlineLvl w:val="2"/>
      </w:pPr>
      <w:r>
        <w:rPr>
          <w:rFonts w:ascii="仿宋_GB2312" w:hAnsi="仿宋_GB2312" w:eastAsia="仿宋_GB2312" w:cs="仿宋_GB2312"/>
          <w:b/>
          <w:sz w:val="28"/>
        </w:rPr>
        <w:t>2.合同标的及金额</w:t>
      </w:r>
    </w:p>
    <w:p w14:paraId="6F8E9285">
      <w:pPr>
        <w:pStyle w:val="10"/>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2E103536">
      <w:pPr>
        <w:pStyle w:val="10"/>
        <w:jc w:val="left"/>
        <w:outlineLvl w:val="2"/>
      </w:pPr>
      <w:r>
        <w:rPr>
          <w:rFonts w:ascii="仿宋_GB2312" w:hAnsi="仿宋_GB2312" w:eastAsia="仿宋_GB2312" w:cs="仿宋_GB2312"/>
          <w:b/>
          <w:sz w:val="28"/>
        </w:rPr>
        <w:t>3. 履行合同的时间、地点和方式</w:t>
      </w:r>
    </w:p>
    <w:p w14:paraId="4871D0A5">
      <w:pPr>
        <w:pStyle w:val="10"/>
        <w:jc w:val="left"/>
      </w:pPr>
      <w:r>
        <w:rPr>
          <w:rFonts w:ascii="仿宋_GB2312" w:hAnsi="仿宋_GB2312" w:eastAsia="仿宋_GB2312" w:cs="仿宋_GB2312"/>
        </w:rPr>
        <w:t>3.1 乙方应当在约定的时间、地点，按照约定方式履行合同。</w:t>
      </w:r>
    </w:p>
    <w:p w14:paraId="25FDD070">
      <w:pPr>
        <w:pStyle w:val="10"/>
        <w:jc w:val="left"/>
        <w:outlineLvl w:val="2"/>
      </w:pPr>
      <w:r>
        <w:rPr>
          <w:rFonts w:ascii="仿宋_GB2312" w:hAnsi="仿宋_GB2312" w:eastAsia="仿宋_GB2312" w:cs="仿宋_GB2312"/>
          <w:b/>
          <w:sz w:val="28"/>
        </w:rPr>
        <w:t>4. 甲方的权利和义务</w:t>
      </w:r>
    </w:p>
    <w:p w14:paraId="76C62846">
      <w:pPr>
        <w:pStyle w:val="10"/>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62E9E995">
      <w:pPr>
        <w:pStyle w:val="10"/>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6700E0CC">
      <w:pPr>
        <w:pStyle w:val="10"/>
        <w:jc w:val="left"/>
      </w:pPr>
      <w:r>
        <w:rPr>
          <w:rFonts w:ascii="仿宋_GB2312" w:hAnsi="仿宋_GB2312" w:eastAsia="仿宋_GB2312" w:cs="仿宋_GB2312"/>
        </w:rPr>
        <w:t>4.3 甲方有权要求乙方对缺陷部分予以修复，并按合同约定享有货物保修及其他合同约定的权利。</w:t>
      </w:r>
    </w:p>
    <w:p w14:paraId="27C36949">
      <w:pPr>
        <w:pStyle w:val="10"/>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24BF0DD5">
      <w:pPr>
        <w:pStyle w:val="10"/>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1188952C">
      <w:pPr>
        <w:pStyle w:val="10"/>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71BB9AA6">
      <w:pPr>
        <w:pStyle w:val="10"/>
        <w:jc w:val="left"/>
        <w:outlineLvl w:val="2"/>
      </w:pPr>
      <w:r>
        <w:rPr>
          <w:rFonts w:ascii="仿宋_GB2312" w:hAnsi="仿宋_GB2312" w:eastAsia="仿宋_GB2312" w:cs="仿宋_GB2312"/>
          <w:b/>
          <w:sz w:val="28"/>
        </w:rPr>
        <w:t>5. 乙方的权利和义务</w:t>
      </w:r>
    </w:p>
    <w:p w14:paraId="51A0AD5B">
      <w:pPr>
        <w:pStyle w:val="10"/>
        <w:jc w:val="left"/>
      </w:pPr>
      <w:r>
        <w:rPr>
          <w:rFonts w:ascii="仿宋_GB2312" w:hAnsi="仿宋_GB2312" w:eastAsia="仿宋_GB2312" w:cs="仿宋_GB2312"/>
        </w:rPr>
        <w:t>5.1 签署合同后，乙方应确定项目负责人（或项目联系人），负责与本合同有关的事务。</w:t>
      </w:r>
    </w:p>
    <w:p w14:paraId="12F68F88">
      <w:pPr>
        <w:pStyle w:val="10"/>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42BDEF3">
      <w:pPr>
        <w:pStyle w:val="10"/>
        <w:jc w:val="left"/>
      </w:pPr>
      <w:r>
        <w:rPr>
          <w:rFonts w:ascii="仿宋_GB2312" w:hAnsi="仿宋_GB2312" w:eastAsia="仿宋_GB2312" w:cs="仿宋_GB2312"/>
        </w:rPr>
        <w:t>5.3乙方有权根据合同约定向甲方收取合同价款。</w:t>
      </w:r>
    </w:p>
    <w:p w14:paraId="71220660">
      <w:pPr>
        <w:pStyle w:val="10"/>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083814A6">
      <w:pPr>
        <w:pStyle w:val="10"/>
        <w:jc w:val="left"/>
        <w:outlineLvl w:val="2"/>
      </w:pPr>
      <w:r>
        <w:rPr>
          <w:rFonts w:ascii="仿宋_GB2312" w:hAnsi="仿宋_GB2312" w:eastAsia="仿宋_GB2312" w:cs="仿宋_GB2312"/>
          <w:b/>
          <w:sz w:val="28"/>
        </w:rPr>
        <w:t>6.合同履行</w:t>
      </w:r>
    </w:p>
    <w:p w14:paraId="19321104">
      <w:pPr>
        <w:pStyle w:val="10"/>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421F706B">
      <w:pPr>
        <w:pStyle w:val="10"/>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2AB220D8">
      <w:pPr>
        <w:pStyle w:val="10"/>
        <w:jc w:val="left"/>
        <w:outlineLvl w:val="2"/>
      </w:pPr>
      <w:r>
        <w:rPr>
          <w:rFonts w:ascii="仿宋_GB2312" w:hAnsi="仿宋_GB2312" w:eastAsia="仿宋_GB2312" w:cs="仿宋_GB2312"/>
          <w:b/>
          <w:sz w:val="28"/>
        </w:rPr>
        <w:t>7. 货物包装、运输、保险和交付要求</w:t>
      </w:r>
    </w:p>
    <w:p w14:paraId="140E0CA1">
      <w:pPr>
        <w:pStyle w:val="10"/>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7BFE6AE5">
      <w:pPr>
        <w:pStyle w:val="10"/>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1130076B">
      <w:pPr>
        <w:pStyle w:val="10"/>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0F534520">
      <w:pPr>
        <w:pStyle w:val="10"/>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E47C7A6">
      <w:pPr>
        <w:pStyle w:val="10"/>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5CB38AE7">
      <w:pPr>
        <w:pStyle w:val="10"/>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39873C81">
      <w:pPr>
        <w:pStyle w:val="10"/>
        <w:jc w:val="left"/>
        <w:outlineLvl w:val="2"/>
      </w:pPr>
      <w:r>
        <w:rPr>
          <w:rFonts w:ascii="仿宋_GB2312" w:hAnsi="仿宋_GB2312" w:eastAsia="仿宋_GB2312" w:cs="仿宋_GB2312"/>
          <w:b/>
          <w:sz w:val="28"/>
        </w:rPr>
        <w:t>8. 质量标准和保证</w:t>
      </w:r>
    </w:p>
    <w:p w14:paraId="624A0A83">
      <w:pPr>
        <w:pStyle w:val="10"/>
        <w:jc w:val="left"/>
      </w:pPr>
      <w:r>
        <w:rPr>
          <w:rFonts w:ascii="仿宋_GB2312" w:hAnsi="仿宋_GB2312" w:eastAsia="仿宋_GB2312" w:cs="仿宋_GB2312"/>
        </w:rPr>
        <w:t>8.1 质量标准</w:t>
      </w:r>
    </w:p>
    <w:p w14:paraId="2B9F4317">
      <w:pPr>
        <w:pStyle w:val="10"/>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415CE01">
      <w:pPr>
        <w:pStyle w:val="10"/>
        <w:jc w:val="left"/>
      </w:pPr>
      <w:r>
        <w:rPr>
          <w:rFonts w:ascii="仿宋_GB2312" w:hAnsi="仿宋_GB2312" w:eastAsia="仿宋_GB2312" w:cs="仿宋_GB2312"/>
        </w:rPr>
        <w:t>（2）采用中华人民共和国法定计量单位。</w:t>
      </w:r>
    </w:p>
    <w:p w14:paraId="6B26C39D">
      <w:pPr>
        <w:pStyle w:val="10"/>
        <w:jc w:val="left"/>
      </w:pPr>
      <w:r>
        <w:rPr>
          <w:rFonts w:ascii="仿宋_GB2312" w:hAnsi="仿宋_GB2312" w:eastAsia="仿宋_GB2312" w:cs="仿宋_GB2312"/>
        </w:rPr>
        <w:t>（3）乙方所提供的货物应符合国家有关安全、环保、卫生的规定。</w:t>
      </w:r>
    </w:p>
    <w:p w14:paraId="121EC7B0">
      <w:pPr>
        <w:pStyle w:val="10"/>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62669EE2">
      <w:pPr>
        <w:pStyle w:val="10"/>
        <w:jc w:val="left"/>
      </w:pPr>
      <w:r>
        <w:rPr>
          <w:rFonts w:ascii="仿宋_GB2312" w:hAnsi="仿宋_GB2312" w:eastAsia="仿宋_GB2312" w:cs="仿宋_GB2312"/>
        </w:rPr>
        <w:t>8.2 保证</w:t>
      </w:r>
    </w:p>
    <w:p w14:paraId="2033ABDF">
      <w:pPr>
        <w:pStyle w:val="10"/>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6F8792A">
      <w:pPr>
        <w:pStyle w:val="10"/>
        <w:jc w:val="left"/>
      </w:pPr>
      <w:r>
        <w:rPr>
          <w:rFonts w:ascii="仿宋_GB2312" w:hAnsi="仿宋_GB2312" w:eastAsia="仿宋_GB2312" w:cs="仿宋_GB2312"/>
        </w:rPr>
        <w:t>（2）在质量保证期内所发现的缺陷，甲方应尽快以书面形式通知乙方。</w:t>
      </w:r>
    </w:p>
    <w:p w14:paraId="3F2C4F79">
      <w:pPr>
        <w:pStyle w:val="10"/>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11B4216A">
      <w:pPr>
        <w:pStyle w:val="10"/>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4DE70B98">
      <w:pPr>
        <w:pStyle w:val="10"/>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0FD20F7F">
      <w:pPr>
        <w:pStyle w:val="10"/>
        <w:jc w:val="left"/>
        <w:outlineLvl w:val="2"/>
      </w:pPr>
      <w:r>
        <w:rPr>
          <w:rFonts w:ascii="仿宋_GB2312" w:hAnsi="仿宋_GB2312" w:eastAsia="仿宋_GB2312" w:cs="仿宋_GB2312"/>
          <w:b/>
          <w:sz w:val="28"/>
        </w:rPr>
        <w:t>9. 权利瑕疵担保</w:t>
      </w:r>
    </w:p>
    <w:p w14:paraId="38E8C629">
      <w:pPr>
        <w:pStyle w:val="10"/>
        <w:jc w:val="left"/>
      </w:pPr>
      <w:r>
        <w:rPr>
          <w:rFonts w:ascii="仿宋_GB2312" w:hAnsi="仿宋_GB2312" w:eastAsia="仿宋_GB2312" w:cs="仿宋_GB2312"/>
        </w:rPr>
        <w:t>9.1 乙方保证对其出售的货物享有合法的权利。</w:t>
      </w:r>
    </w:p>
    <w:p w14:paraId="1D628CBF">
      <w:pPr>
        <w:pStyle w:val="10"/>
        <w:jc w:val="left"/>
      </w:pPr>
      <w:r>
        <w:rPr>
          <w:rFonts w:ascii="仿宋_GB2312" w:hAnsi="仿宋_GB2312" w:eastAsia="仿宋_GB2312" w:cs="仿宋_GB2312"/>
        </w:rPr>
        <w:t>9.2 乙方保证在交付的货物上不存在抵押权等担保物权。</w:t>
      </w:r>
    </w:p>
    <w:p w14:paraId="1C320705">
      <w:pPr>
        <w:pStyle w:val="10"/>
        <w:jc w:val="left"/>
      </w:pPr>
      <w:r>
        <w:rPr>
          <w:rFonts w:ascii="仿宋_GB2312" w:hAnsi="仿宋_GB2312" w:eastAsia="仿宋_GB2312" w:cs="仿宋_GB2312"/>
        </w:rPr>
        <w:t>9.3 如甲方使用上述货物构成对第三人侵权的，则由乙方承担全部责任。</w:t>
      </w:r>
    </w:p>
    <w:p w14:paraId="3F96D330">
      <w:pPr>
        <w:pStyle w:val="10"/>
        <w:jc w:val="left"/>
        <w:outlineLvl w:val="2"/>
      </w:pPr>
      <w:r>
        <w:rPr>
          <w:rFonts w:ascii="仿宋_GB2312" w:hAnsi="仿宋_GB2312" w:eastAsia="仿宋_GB2312" w:cs="仿宋_GB2312"/>
          <w:b/>
          <w:sz w:val="28"/>
        </w:rPr>
        <w:t>10. 知识产权保护</w:t>
      </w:r>
    </w:p>
    <w:p w14:paraId="57F99737">
      <w:pPr>
        <w:pStyle w:val="10"/>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8F6944E">
      <w:pPr>
        <w:pStyle w:val="10"/>
        <w:jc w:val="left"/>
        <w:outlineLvl w:val="2"/>
      </w:pPr>
      <w:r>
        <w:rPr>
          <w:rFonts w:ascii="仿宋_GB2312" w:hAnsi="仿宋_GB2312" w:eastAsia="仿宋_GB2312" w:cs="仿宋_GB2312"/>
          <w:b/>
          <w:sz w:val="28"/>
        </w:rPr>
        <w:t>11. 保密义务</w:t>
      </w:r>
    </w:p>
    <w:p w14:paraId="2103287D">
      <w:pPr>
        <w:pStyle w:val="10"/>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58B3F817">
      <w:pPr>
        <w:pStyle w:val="10"/>
        <w:jc w:val="left"/>
        <w:outlineLvl w:val="2"/>
      </w:pPr>
      <w:r>
        <w:rPr>
          <w:rFonts w:ascii="仿宋_GB2312" w:hAnsi="仿宋_GB2312" w:eastAsia="仿宋_GB2312" w:cs="仿宋_GB2312"/>
          <w:b/>
          <w:sz w:val="28"/>
        </w:rPr>
        <w:t>12. 合同价款支付</w:t>
      </w:r>
    </w:p>
    <w:p w14:paraId="3BF0E63A">
      <w:pPr>
        <w:pStyle w:val="10"/>
        <w:jc w:val="left"/>
      </w:pPr>
      <w:r>
        <w:rPr>
          <w:rFonts w:ascii="仿宋_GB2312" w:hAnsi="仿宋_GB2312" w:eastAsia="仿宋_GB2312" w:cs="仿宋_GB2312"/>
        </w:rPr>
        <w:t>12.1 合同价款支付按照国库集中支付制度及财政管理相关规定执行。</w:t>
      </w:r>
    </w:p>
    <w:p w14:paraId="2419DFDF">
      <w:pPr>
        <w:pStyle w:val="10"/>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76A96E03">
      <w:pPr>
        <w:pStyle w:val="10"/>
        <w:jc w:val="left"/>
        <w:outlineLvl w:val="2"/>
      </w:pPr>
      <w:r>
        <w:rPr>
          <w:rFonts w:ascii="仿宋_GB2312" w:hAnsi="仿宋_GB2312" w:eastAsia="仿宋_GB2312" w:cs="仿宋_GB2312"/>
          <w:b/>
          <w:sz w:val="28"/>
        </w:rPr>
        <w:t>13. 履约保证金</w:t>
      </w:r>
    </w:p>
    <w:p w14:paraId="4A4DB680">
      <w:pPr>
        <w:pStyle w:val="10"/>
        <w:jc w:val="left"/>
      </w:pPr>
      <w:r>
        <w:rPr>
          <w:rFonts w:ascii="仿宋_GB2312" w:hAnsi="仿宋_GB2312" w:eastAsia="仿宋_GB2312" w:cs="仿宋_GB2312"/>
        </w:rPr>
        <w:t>13.1 乙方应当以支票、汇票、本票或者金融机构、担保机构出具的保函等非现金形式提交。</w:t>
      </w:r>
    </w:p>
    <w:p w14:paraId="4FC4571C">
      <w:pPr>
        <w:pStyle w:val="10"/>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5C19CA5C">
      <w:pPr>
        <w:pStyle w:val="10"/>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4DEE9D3B">
      <w:pPr>
        <w:pStyle w:val="10"/>
        <w:jc w:val="left"/>
        <w:outlineLvl w:val="2"/>
      </w:pPr>
      <w:r>
        <w:rPr>
          <w:rFonts w:ascii="仿宋_GB2312" w:hAnsi="仿宋_GB2312" w:eastAsia="仿宋_GB2312" w:cs="仿宋_GB2312"/>
          <w:b/>
          <w:sz w:val="28"/>
        </w:rPr>
        <w:t>14. 售后服务</w:t>
      </w:r>
    </w:p>
    <w:p w14:paraId="24E552D0">
      <w:pPr>
        <w:pStyle w:val="10"/>
        <w:jc w:val="left"/>
      </w:pPr>
      <w:r>
        <w:rPr>
          <w:rFonts w:ascii="仿宋_GB2312" w:hAnsi="仿宋_GB2312" w:eastAsia="仿宋_GB2312" w:cs="仿宋_GB2312"/>
        </w:rPr>
        <w:t>14.1 除项目不涉及或采购活动中明确约定无须承担外，乙方还应提供下列服务：</w:t>
      </w:r>
    </w:p>
    <w:p w14:paraId="0FFD247A">
      <w:pPr>
        <w:pStyle w:val="10"/>
        <w:jc w:val="left"/>
      </w:pPr>
      <w:r>
        <w:rPr>
          <w:rFonts w:ascii="仿宋_GB2312" w:hAnsi="仿宋_GB2312" w:eastAsia="仿宋_GB2312" w:cs="仿宋_GB2312"/>
        </w:rPr>
        <w:t>（1）货物的现场移动、安装、调试、启动监督及技术支持；</w:t>
      </w:r>
    </w:p>
    <w:p w14:paraId="126B294F">
      <w:pPr>
        <w:pStyle w:val="10"/>
        <w:jc w:val="left"/>
      </w:pPr>
      <w:r>
        <w:rPr>
          <w:rFonts w:ascii="仿宋_GB2312" w:hAnsi="仿宋_GB2312" w:eastAsia="仿宋_GB2312" w:cs="仿宋_GB2312"/>
        </w:rPr>
        <w:t>（2）提供货物组装和维修所需的专用工具和辅助材料；</w:t>
      </w:r>
    </w:p>
    <w:p w14:paraId="43BD289B">
      <w:pPr>
        <w:pStyle w:val="10"/>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684C9130">
      <w:pPr>
        <w:pStyle w:val="10"/>
        <w:jc w:val="left"/>
      </w:pPr>
      <w:r>
        <w:rPr>
          <w:rFonts w:ascii="仿宋_GB2312" w:hAnsi="仿宋_GB2312" w:eastAsia="仿宋_GB2312" w:cs="仿宋_GB2312"/>
        </w:rPr>
        <w:t>（4）在制造商所在地或指定现场就货物的安装、启动、运营、维护、废弃处置等对甲方操作人员进行培训；</w:t>
      </w:r>
    </w:p>
    <w:p w14:paraId="33AD2911">
      <w:pPr>
        <w:pStyle w:val="10"/>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2A5397AA">
      <w:pPr>
        <w:pStyle w:val="10"/>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68322BD8">
      <w:pPr>
        <w:pStyle w:val="10"/>
        <w:jc w:val="left"/>
      </w:pPr>
      <w:r>
        <w:rPr>
          <w:rFonts w:ascii="仿宋_GB2312" w:hAnsi="仿宋_GB2312" w:eastAsia="仿宋_GB2312" w:cs="仿宋_GB2312"/>
        </w:rPr>
        <w:t>14.2 乙方提供的售后服务的费用已包含在合同价款中，甲方不再另行支付。</w:t>
      </w:r>
    </w:p>
    <w:p w14:paraId="48E35129">
      <w:pPr>
        <w:pStyle w:val="10"/>
        <w:jc w:val="left"/>
        <w:outlineLvl w:val="2"/>
      </w:pPr>
      <w:r>
        <w:rPr>
          <w:rFonts w:ascii="仿宋_GB2312" w:hAnsi="仿宋_GB2312" w:eastAsia="仿宋_GB2312" w:cs="仿宋_GB2312"/>
          <w:b/>
          <w:sz w:val="28"/>
        </w:rPr>
        <w:t>15. 违约责任</w:t>
      </w:r>
    </w:p>
    <w:p w14:paraId="60403FA5">
      <w:pPr>
        <w:pStyle w:val="10"/>
        <w:jc w:val="left"/>
      </w:pPr>
      <w:r>
        <w:rPr>
          <w:rFonts w:ascii="仿宋_GB2312" w:hAnsi="仿宋_GB2312" w:eastAsia="仿宋_GB2312" w:cs="仿宋_GB2312"/>
        </w:rPr>
        <w:t>15.1质量瑕疵的违约责任</w:t>
      </w:r>
    </w:p>
    <w:p w14:paraId="7EC01A03">
      <w:pPr>
        <w:pStyle w:val="10"/>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13B0F978">
      <w:pPr>
        <w:pStyle w:val="10"/>
        <w:jc w:val="left"/>
      </w:pPr>
      <w:r>
        <w:rPr>
          <w:rFonts w:ascii="仿宋_GB2312" w:hAnsi="仿宋_GB2312" w:eastAsia="仿宋_GB2312" w:cs="仿宋_GB2312"/>
        </w:rPr>
        <w:t>15.2 迟延交货的违约责任</w:t>
      </w:r>
    </w:p>
    <w:p w14:paraId="62E0140B">
      <w:pPr>
        <w:pStyle w:val="10"/>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67A1411">
      <w:pPr>
        <w:pStyle w:val="10"/>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55C31493">
      <w:pPr>
        <w:pStyle w:val="10"/>
        <w:jc w:val="left"/>
      </w:pPr>
      <w:r>
        <w:rPr>
          <w:rFonts w:ascii="仿宋_GB2312" w:hAnsi="仿宋_GB2312" w:eastAsia="仿宋_GB2312" w:cs="仿宋_GB2312"/>
        </w:rPr>
        <w:t>15.3 迟延支付的违约责任</w:t>
      </w:r>
    </w:p>
    <w:p w14:paraId="6E488FD8">
      <w:pPr>
        <w:pStyle w:val="10"/>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6DDC60E2">
      <w:pPr>
        <w:pStyle w:val="10"/>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418CA881">
      <w:pPr>
        <w:pStyle w:val="10"/>
        <w:jc w:val="left"/>
        <w:outlineLvl w:val="2"/>
      </w:pPr>
      <w:r>
        <w:rPr>
          <w:rFonts w:ascii="仿宋_GB2312" w:hAnsi="仿宋_GB2312" w:eastAsia="仿宋_GB2312" w:cs="仿宋_GB2312"/>
          <w:b/>
          <w:sz w:val="28"/>
        </w:rPr>
        <w:t>16.合同变更、中止与终止</w:t>
      </w:r>
    </w:p>
    <w:p w14:paraId="3BEE646A">
      <w:pPr>
        <w:pStyle w:val="10"/>
        <w:jc w:val="left"/>
      </w:pPr>
      <w:r>
        <w:rPr>
          <w:rFonts w:ascii="仿宋_GB2312" w:hAnsi="仿宋_GB2312" w:eastAsia="仿宋_GB2312" w:cs="仿宋_GB2312"/>
        </w:rPr>
        <w:t xml:space="preserve"> 16.1合同的变更</w:t>
      </w:r>
    </w:p>
    <w:p w14:paraId="75BBB374">
      <w:pPr>
        <w:pStyle w:val="10"/>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61231561">
      <w:pPr>
        <w:pStyle w:val="10"/>
        <w:jc w:val="left"/>
      </w:pPr>
      <w:r>
        <w:rPr>
          <w:rFonts w:ascii="仿宋_GB2312" w:hAnsi="仿宋_GB2312" w:eastAsia="仿宋_GB2312" w:cs="仿宋_GB2312"/>
        </w:rPr>
        <w:t>16.2合同的中止</w:t>
      </w:r>
    </w:p>
    <w:p w14:paraId="08BEB55B">
      <w:pPr>
        <w:pStyle w:val="10"/>
        <w:jc w:val="left"/>
      </w:pPr>
      <w:r>
        <w:rPr>
          <w:rFonts w:ascii="仿宋_GB2312" w:hAnsi="仿宋_GB2312" w:eastAsia="仿宋_GB2312" w:cs="仿宋_GB2312"/>
        </w:rPr>
        <w:t>（1）合同履行过程中因供应商就采购文件、采购过程或结果提起投诉的，甲方认为有必要的，可以中止合同的履行。</w:t>
      </w:r>
    </w:p>
    <w:p w14:paraId="2586729E">
      <w:pPr>
        <w:pStyle w:val="10"/>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E1F2CBC">
      <w:pPr>
        <w:pStyle w:val="10"/>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279A1681">
      <w:pPr>
        <w:pStyle w:val="10"/>
        <w:jc w:val="left"/>
      </w:pPr>
      <w:r>
        <w:rPr>
          <w:rFonts w:ascii="仿宋_GB2312" w:hAnsi="仿宋_GB2312" w:eastAsia="仿宋_GB2312" w:cs="仿宋_GB2312"/>
        </w:rPr>
        <w:t>（4）甲方不得以行政区划调整、政府换届、机构或者职能调整以及相关责任人更替为由中止合同。</w:t>
      </w:r>
    </w:p>
    <w:p w14:paraId="25616B5A">
      <w:pPr>
        <w:pStyle w:val="10"/>
        <w:jc w:val="left"/>
      </w:pPr>
      <w:r>
        <w:rPr>
          <w:rFonts w:ascii="仿宋_GB2312" w:hAnsi="仿宋_GB2312" w:eastAsia="仿宋_GB2312" w:cs="仿宋_GB2312"/>
        </w:rPr>
        <w:t>16.3合同的终止</w:t>
      </w:r>
    </w:p>
    <w:p w14:paraId="6E18CE12">
      <w:pPr>
        <w:pStyle w:val="10"/>
        <w:jc w:val="left"/>
      </w:pPr>
      <w:r>
        <w:rPr>
          <w:rFonts w:ascii="仿宋_GB2312" w:hAnsi="仿宋_GB2312" w:eastAsia="仿宋_GB2312" w:cs="仿宋_GB2312"/>
        </w:rPr>
        <w:t>（1）合同因有效期限届满而终止；</w:t>
      </w:r>
    </w:p>
    <w:p w14:paraId="10EDBA8F">
      <w:pPr>
        <w:pStyle w:val="10"/>
        <w:jc w:val="left"/>
      </w:pPr>
      <w:r>
        <w:rPr>
          <w:rFonts w:ascii="仿宋_GB2312" w:hAnsi="仿宋_GB2312" w:eastAsia="仿宋_GB2312" w:cs="仿宋_GB2312"/>
        </w:rPr>
        <w:t>（2）乙方未按合同约定履行，构成根本性违约的，甲方有权终止合同，并追究乙方的违约责任。</w:t>
      </w:r>
    </w:p>
    <w:p w14:paraId="730560F1">
      <w:pPr>
        <w:pStyle w:val="10"/>
        <w:jc w:val="left"/>
      </w:pPr>
      <w:r>
        <w:rPr>
          <w:rFonts w:ascii="仿宋_GB2312" w:hAnsi="仿宋_GB2312" w:eastAsia="仿宋_GB2312" w:cs="仿宋_GB2312"/>
        </w:rPr>
        <w:t>16.4 涉及国家利益、社会公共利益的情形</w:t>
      </w:r>
    </w:p>
    <w:p w14:paraId="5B160EDA">
      <w:pPr>
        <w:pStyle w:val="10"/>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6BADC69E">
      <w:pPr>
        <w:pStyle w:val="10"/>
        <w:jc w:val="left"/>
        <w:outlineLvl w:val="2"/>
      </w:pPr>
      <w:r>
        <w:rPr>
          <w:rFonts w:ascii="仿宋_GB2312" w:hAnsi="仿宋_GB2312" w:eastAsia="仿宋_GB2312" w:cs="仿宋_GB2312"/>
          <w:b/>
          <w:sz w:val="28"/>
        </w:rPr>
        <w:t>17. 合同分包</w:t>
      </w:r>
    </w:p>
    <w:p w14:paraId="6663C54B">
      <w:pPr>
        <w:pStyle w:val="10"/>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183CFB32">
      <w:pPr>
        <w:pStyle w:val="10"/>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2D77E67D">
      <w:pPr>
        <w:pStyle w:val="10"/>
        <w:jc w:val="left"/>
        <w:outlineLvl w:val="2"/>
      </w:pPr>
      <w:r>
        <w:rPr>
          <w:rFonts w:ascii="仿宋_GB2312" w:hAnsi="仿宋_GB2312" w:eastAsia="仿宋_GB2312" w:cs="仿宋_GB2312"/>
          <w:b/>
          <w:sz w:val="28"/>
        </w:rPr>
        <w:t>18. 不可抗力</w:t>
      </w:r>
    </w:p>
    <w:p w14:paraId="508D18B1">
      <w:pPr>
        <w:pStyle w:val="10"/>
        <w:jc w:val="left"/>
      </w:pPr>
      <w:r>
        <w:rPr>
          <w:rFonts w:ascii="仿宋_GB2312" w:hAnsi="仿宋_GB2312" w:eastAsia="仿宋_GB2312" w:cs="仿宋_GB2312"/>
        </w:rPr>
        <w:t>18.1 不可抗力是指合同双方不能预见、不能避免且不能克服的客观情况。</w:t>
      </w:r>
    </w:p>
    <w:p w14:paraId="6C78FB91">
      <w:pPr>
        <w:pStyle w:val="10"/>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2A72B16A">
      <w:pPr>
        <w:pStyle w:val="10"/>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3DECEA">
      <w:pPr>
        <w:pStyle w:val="10"/>
        <w:jc w:val="left"/>
        <w:outlineLvl w:val="2"/>
      </w:pPr>
      <w:r>
        <w:rPr>
          <w:rFonts w:ascii="仿宋_GB2312" w:hAnsi="仿宋_GB2312" w:eastAsia="仿宋_GB2312" w:cs="仿宋_GB2312"/>
          <w:b/>
          <w:sz w:val="28"/>
        </w:rPr>
        <w:t>19. 解决争议的方法</w:t>
      </w:r>
    </w:p>
    <w:p w14:paraId="26875FC7">
      <w:pPr>
        <w:pStyle w:val="10"/>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19143EBE">
      <w:pPr>
        <w:pStyle w:val="10"/>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1C76A526">
      <w:pPr>
        <w:pStyle w:val="10"/>
        <w:jc w:val="left"/>
      </w:pPr>
      <w:r>
        <w:rPr>
          <w:rFonts w:ascii="仿宋_GB2312" w:hAnsi="仿宋_GB2312" w:eastAsia="仿宋_GB2312" w:cs="仿宋_GB2312"/>
        </w:rPr>
        <w:t>19.3 如甲乙双方有争议的事项不影响合同其他部分的履行，在争议解决期间，合同其他部分应当继续履行。</w:t>
      </w:r>
    </w:p>
    <w:p w14:paraId="6162ACC8">
      <w:pPr>
        <w:pStyle w:val="10"/>
        <w:jc w:val="left"/>
        <w:outlineLvl w:val="2"/>
      </w:pPr>
      <w:r>
        <w:rPr>
          <w:rFonts w:ascii="仿宋_GB2312" w:hAnsi="仿宋_GB2312" w:eastAsia="仿宋_GB2312" w:cs="仿宋_GB2312"/>
          <w:b/>
          <w:sz w:val="28"/>
        </w:rPr>
        <w:t>20. 政府采购政策</w:t>
      </w:r>
    </w:p>
    <w:p w14:paraId="09C35002">
      <w:pPr>
        <w:pStyle w:val="10"/>
        <w:jc w:val="left"/>
      </w:pPr>
      <w:r>
        <w:rPr>
          <w:rFonts w:ascii="仿宋_GB2312" w:hAnsi="仿宋_GB2312" w:eastAsia="仿宋_GB2312" w:cs="仿宋_GB2312"/>
        </w:rPr>
        <w:t>20.1 本合同应当按照规定执行政府采购政策。</w:t>
      </w:r>
    </w:p>
    <w:p w14:paraId="5624D734">
      <w:pPr>
        <w:pStyle w:val="10"/>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0362EC9">
      <w:pPr>
        <w:pStyle w:val="10"/>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5CB28F1">
      <w:pPr>
        <w:pStyle w:val="10"/>
        <w:jc w:val="left"/>
        <w:outlineLvl w:val="2"/>
      </w:pPr>
      <w:r>
        <w:rPr>
          <w:rFonts w:ascii="仿宋_GB2312" w:hAnsi="仿宋_GB2312" w:eastAsia="仿宋_GB2312" w:cs="仿宋_GB2312"/>
          <w:b/>
          <w:sz w:val="28"/>
        </w:rPr>
        <w:t>21. 法律适用</w:t>
      </w:r>
    </w:p>
    <w:p w14:paraId="536AD528">
      <w:pPr>
        <w:pStyle w:val="10"/>
        <w:jc w:val="left"/>
      </w:pPr>
      <w:r>
        <w:rPr>
          <w:rFonts w:ascii="仿宋_GB2312" w:hAnsi="仿宋_GB2312" w:eastAsia="仿宋_GB2312" w:cs="仿宋_GB2312"/>
        </w:rPr>
        <w:t>21.1 本合同的订立、生效、解释、履行及与本合同有关的争议解决，均适用法律、行政法规。</w:t>
      </w:r>
    </w:p>
    <w:p w14:paraId="40977A48">
      <w:pPr>
        <w:pStyle w:val="10"/>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67EE802D">
      <w:pPr>
        <w:pStyle w:val="10"/>
        <w:jc w:val="left"/>
        <w:outlineLvl w:val="2"/>
      </w:pPr>
      <w:r>
        <w:rPr>
          <w:rFonts w:ascii="仿宋_GB2312" w:hAnsi="仿宋_GB2312" w:eastAsia="仿宋_GB2312" w:cs="仿宋_GB2312"/>
          <w:b/>
          <w:sz w:val="28"/>
        </w:rPr>
        <w:t>22. 通知</w:t>
      </w:r>
    </w:p>
    <w:p w14:paraId="104B8DBC">
      <w:pPr>
        <w:pStyle w:val="10"/>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0A22A8A3">
      <w:pPr>
        <w:pStyle w:val="10"/>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5FA122D5">
      <w:pPr>
        <w:pStyle w:val="10"/>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42B0D4D8">
      <w:pPr>
        <w:pStyle w:val="10"/>
        <w:jc w:val="left"/>
      </w:pPr>
      <w:r>
        <w:rPr>
          <w:rFonts w:ascii="仿宋_GB2312" w:hAnsi="仿宋_GB2312" w:eastAsia="仿宋_GB2312" w:cs="仿宋_GB2312"/>
        </w:rPr>
        <w:t>22.4通知以送达之日或通知书中规定的生效之日起生效，两者中以较迟之日为准。</w:t>
      </w:r>
    </w:p>
    <w:p w14:paraId="2A5AF9A0">
      <w:pPr>
        <w:pStyle w:val="10"/>
        <w:jc w:val="left"/>
        <w:outlineLvl w:val="2"/>
      </w:pPr>
      <w:r>
        <w:rPr>
          <w:rFonts w:ascii="仿宋_GB2312" w:hAnsi="仿宋_GB2312" w:eastAsia="仿宋_GB2312" w:cs="仿宋_GB2312"/>
          <w:b/>
          <w:sz w:val="28"/>
        </w:rPr>
        <w:t>23.合同未尽事项</w:t>
      </w:r>
    </w:p>
    <w:p w14:paraId="5BDBF973">
      <w:pPr>
        <w:pStyle w:val="10"/>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4A08E969">
      <w:pPr>
        <w:pStyle w:val="10"/>
        <w:jc w:val="left"/>
      </w:pPr>
      <w:r>
        <w:rPr>
          <w:rFonts w:ascii="仿宋_GB2312" w:hAnsi="仿宋_GB2312" w:eastAsia="仿宋_GB2312" w:cs="仿宋_GB2312"/>
        </w:rPr>
        <w:t xml:space="preserve"> 23.2 合同附件与合同正文具有同等的法律效力。</w:t>
      </w:r>
    </w:p>
    <w:p w14:paraId="7046A9C4">
      <w:pPr>
        <w:pStyle w:val="10"/>
        <w:jc w:val="center"/>
        <w:outlineLvl w:val="2"/>
      </w:pPr>
      <w:r>
        <w:rPr>
          <w:rFonts w:ascii="仿宋_GB2312" w:hAnsi="仿宋_GB2312" w:eastAsia="仿宋_GB2312" w:cs="仿宋_GB2312"/>
          <w:b/>
          <w:sz w:val="28"/>
        </w:rPr>
        <w:t>第三节 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3BED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0A54F6">
            <w:pPr>
              <w:pStyle w:val="10"/>
              <w:jc w:val="left"/>
            </w:pPr>
            <w:r>
              <w:rPr>
                <w:rFonts w:ascii="仿宋_GB2312" w:hAnsi="仿宋_GB2312" w:eastAsia="仿宋_GB2312" w:cs="仿宋_GB2312"/>
              </w:rPr>
              <w:t>第二节 第1.2（6）项</w:t>
            </w:r>
          </w:p>
        </w:tc>
        <w:tc>
          <w:tcPr>
            <w:tcW w:w="2769" w:type="dxa"/>
          </w:tcPr>
          <w:p w14:paraId="592A3223">
            <w:pPr>
              <w:pStyle w:val="10"/>
              <w:jc w:val="left"/>
            </w:pPr>
            <w:r>
              <w:rPr>
                <w:rFonts w:ascii="仿宋_GB2312" w:hAnsi="仿宋_GB2312" w:eastAsia="仿宋_GB2312" w:cs="仿宋_GB2312"/>
              </w:rPr>
              <w:t>联合体具体要求</w:t>
            </w:r>
          </w:p>
        </w:tc>
        <w:tc>
          <w:tcPr>
            <w:tcW w:w="2769" w:type="dxa"/>
          </w:tcPr>
          <w:p w14:paraId="54477D50">
            <w:pPr>
              <w:pStyle w:val="10"/>
              <w:jc w:val="left"/>
            </w:pPr>
          </w:p>
        </w:tc>
      </w:tr>
      <w:tr w14:paraId="2B72B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40EACB">
            <w:pPr>
              <w:pStyle w:val="10"/>
              <w:jc w:val="left"/>
            </w:pPr>
            <w:r>
              <w:rPr>
                <w:rFonts w:ascii="仿宋_GB2312" w:hAnsi="仿宋_GB2312" w:eastAsia="仿宋_GB2312" w:cs="仿宋_GB2312"/>
              </w:rPr>
              <w:t>第二节 第1.2（7）项</w:t>
            </w:r>
          </w:p>
        </w:tc>
        <w:tc>
          <w:tcPr>
            <w:tcW w:w="2769" w:type="dxa"/>
          </w:tcPr>
          <w:p w14:paraId="375C05BB">
            <w:pPr>
              <w:pStyle w:val="10"/>
              <w:jc w:val="left"/>
            </w:pPr>
            <w:r>
              <w:rPr>
                <w:rFonts w:ascii="仿宋_GB2312" w:hAnsi="仿宋_GB2312" w:eastAsia="仿宋_GB2312" w:cs="仿宋_GB2312"/>
              </w:rPr>
              <w:t>其他术语解释</w:t>
            </w:r>
          </w:p>
        </w:tc>
        <w:tc>
          <w:tcPr>
            <w:tcW w:w="2769" w:type="dxa"/>
          </w:tcPr>
          <w:p w14:paraId="1B440D38">
            <w:pPr>
              <w:pStyle w:val="10"/>
              <w:jc w:val="left"/>
            </w:pPr>
          </w:p>
        </w:tc>
      </w:tr>
      <w:tr w14:paraId="28FA8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BA5207">
            <w:pPr>
              <w:pStyle w:val="10"/>
              <w:jc w:val="left"/>
            </w:pPr>
            <w:r>
              <w:rPr>
                <w:rFonts w:ascii="仿宋_GB2312" w:hAnsi="仿宋_GB2312" w:eastAsia="仿宋_GB2312" w:cs="仿宋_GB2312"/>
              </w:rPr>
              <w:t>第二节 第4.4款</w:t>
            </w:r>
          </w:p>
        </w:tc>
        <w:tc>
          <w:tcPr>
            <w:tcW w:w="2769" w:type="dxa"/>
          </w:tcPr>
          <w:p w14:paraId="5E9DA02C">
            <w:pPr>
              <w:pStyle w:val="10"/>
              <w:jc w:val="left"/>
            </w:pPr>
            <w:r>
              <w:rPr>
                <w:rFonts w:ascii="仿宋_GB2312" w:hAnsi="仿宋_GB2312" w:eastAsia="仿宋_GB2312" w:cs="仿宋_GB2312"/>
              </w:rPr>
              <w:t>履约验收中甲方提出异议或作出说明的期限</w:t>
            </w:r>
          </w:p>
        </w:tc>
        <w:tc>
          <w:tcPr>
            <w:tcW w:w="2769" w:type="dxa"/>
          </w:tcPr>
          <w:p w14:paraId="5750C9AD">
            <w:pPr>
              <w:pStyle w:val="10"/>
              <w:jc w:val="left"/>
            </w:pPr>
          </w:p>
        </w:tc>
      </w:tr>
      <w:tr w14:paraId="493FD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936F32">
            <w:pPr>
              <w:pStyle w:val="10"/>
              <w:jc w:val="left"/>
            </w:pPr>
            <w:r>
              <w:rPr>
                <w:rFonts w:ascii="仿宋_GB2312" w:hAnsi="仿宋_GB2312" w:eastAsia="仿宋_GB2312" w:cs="仿宋_GB2312"/>
              </w:rPr>
              <w:t>第二节 第4.6款</w:t>
            </w:r>
          </w:p>
        </w:tc>
        <w:tc>
          <w:tcPr>
            <w:tcW w:w="2769" w:type="dxa"/>
          </w:tcPr>
          <w:p w14:paraId="6545B09C">
            <w:pPr>
              <w:pStyle w:val="10"/>
              <w:jc w:val="left"/>
            </w:pPr>
            <w:r>
              <w:rPr>
                <w:rFonts w:ascii="仿宋_GB2312" w:hAnsi="仿宋_GB2312" w:eastAsia="仿宋_GB2312" w:cs="仿宋_GB2312"/>
              </w:rPr>
              <w:t>约定甲方承担的其他义务和责任</w:t>
            </w:r>
          </w:p>
        </w:tc>
        <w:tc>
          <w:tcPr>
            <w:tcW w:w="2769" w:type="dxa"/>
          </w:tcPr>
          <w:p w14:paraId="147E526D">
            <w:pPr>
              <w:pStyle w:val="10"/>
              <w:jc w:val="left"/>
            </w:pPr>
          </w:p>
        </w:tc>
      </w:tr>
      <w:tr w14:paraId="682BA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29A225">
            <w:pPr>
              <w:pStyle w:val="10"/>
              <w:jc w:val="left"/>
            </w:pPr>
            <w:r>
              <w:rPr>
                <w:rFonts w:ascii="仿宋_GB2312" w:hAnsi="仿宋_GB2312" w:eastAsia="仿宋_GB2312" w:cs="仿宋_GB2312"/>
              </w:rPr>
              <w:t>第二节 第5.4款</w:t>
            </w:r>
          </w:p>
        </w:tc>
        <w:tc>
          <w:tcPr>
            <w:tcW w:w="2769" w:type="dxa"/>
          </w:tcPr>
          <w:p w14:paraId="228D02CE">
            <w:pPr>
              <w:pStyle w:val="10"/>
              <w:jc w:val="left"/>
            </w:pPr>
            <w:r>
              <w:rPr>
                <w:rFonts w:ascii="仿宋_GB2312" w:hAnsi="仿宋_GB2312" w:eastAsia="仿宋_GB2312" w:cs="仿宋_GB2312"/>
              </w:rPr>
              <w:t>约定乙方承担的其他义务和责任</w:t>
            </w:r>
          </w:p>
        </w:tc>
        <w:tc>
          <w:tcPr>
            <w:tcW w:w="2769" w:type="dxa"/>
          </w:tcPr>
          <w:p w14:paraId="10D3CC5E">
            <w:pPr>
              <w:pStyle w:val="10"/>
              <w:jc w:val="left"/>
            </w:pPr>
          </w:p>
        </w:tc>
      </w:tr>
      <w:tr w14:paraId="09DAB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630D47">
            <w:pPr>
              <w:pStyle w:val="10"/>
              <w:jc w:val="left"/>
            </w:pPr>
            <w:r>
              <w:rPr>
                <w:rFonts w:ascii="仿宋_GB2312" w:hAnsi="仿宋_GB2312" w:eastAsia="仿宋_GB2312" w:cs="仿宋_GB2312"/>
              </w:rPr>
              <w:t>第二节 第6.1款</w:t>
            </w:r>
          </w:p>
        </w:tc>
        <w:tc>
          <w:tcPr>
            <w:tcW w:w="2769" w:type="dxa"/>
          </w:tcPr>
          <w:p w14:paraId="7B8344F1">
            <w:pPr>
              <w:pStyle w:val="10"/>
              <w:jc w:val="left"/>
            </w:pPr>
            <w:r>
              <w:rPr>
                <w:rFonts w:ascii="仿宋_GB2312" w:hAnsi="仿宋_GB2312" w:eastAsia="仿宋_GB2312" w:cs="仿宋_GB2312"/>
              </w:rPr>
              <w:t>履行合同义务的顺序</w:t>
            </w:r>
          </w:p>
        </w:tc>
        <w:tc>
          <w:tcPr>
            <w:tcW w:w="2769" w:type="dxa"/>
          </w:tcPr>
          <w:p w14:paraId="313A2FD7">
            <w:pPr>
              <w:pStyle w:val="10"/>
              <w:jc w:val="left"/>
            </w:pPr>
          </w:p>
        </w:tc>
      </w:tr>
      <w:tr w14:paraId="6502C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7A1B9255">
            <w:pPr>
              <w:pStyle w:val="10"/>
              <w:jc w:val="left"/>
            </w:pPr>
            <w:r>
              <w:rPr>
                <w:rFonts w:ascii="仿宋_GB2312" w:hAnsi="仿宋_GB2312" w:eastAsia="仿宋_GB2312" w:cs="仿宋_GB2312"/>
              </w:rPr>
              <w:t>第二节 第7.1款</w:t>
            </w:r>
          </w:p>
        </w:tc>
        <w:tc>
          <w:tcPr>
            <w:tcW w:w="2769" w:type="dxa"/>
          </w:tcPr>
          <w:p w14:paraId="08BFF662">
            <w:pPr>
              <w:pStyle w:val="10"/>
              <w:jc w:val="left"/>
            </w:pPr>
            <w:r>
              <w:rPr>
                <w:rFonts w:ascii="仿宋_GB2312" w:hAnsi="仿宋_GB2312" w:eastAsia="仿宋_GB2312" w:cs="仿宋_GB2312"/>
              </w:rPr>
              <w:t>包装特殊要求</w:t>
            </w:r>
          </w:p>
        </w:tc>
        <w:tc>
          <w:tcPr>
            <w:tcW w:w="2769" w:type="dxa"/>
          </w:tcPr>
          <w:p w14:paraId="5A373F40">
            <w:pPr>
              <w:pStyle w:val="10"/>
              <w:jc w:val="left"/>
            </w:pPr>
          </w:p>
        </w:tc>
      </w:tr>
      <w:tr w14:paraId="5BA17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C863BA0"/>
        </w:tc>
        <w:tc>
          <w:tcPr>
            <w:tcW w:w="2769" w:type="dxa"/>
          </w:tcPr>
          <w:p w14:paraId="4FCF2E6A">
            <w:pPr>
              <w:pStyle w:val="10"/>
              <w:jc w:val="left"/>
            </w:pPr>
            <w:r>
              <w:rPr>
                <w:rFonts w:ascii="仿宋_GB2312" w:hAnsi="仿宋_GB2312" w:eastAsia="仿宋_GB2312" w:cs="仿宋_GB2312"/>
              </w:rPr>
              <w:t>指定现场</w:t>
            </w:r>
          </w:p>
        </w:tc>
        <w:tc>
          <w:tcPr>
            <w:tcW w:w="2769" w:type="dxa"/>
          </w:tcPr>
          <w:p w14:paraId="669F52C1">
            <w:pPr>
              <w:pStyle w:val="10"/>
              <w:jc w:val="left"/>
            </w:pPr>
          </w:p>
        </w:tc>
      </w:tr>
      <w:tr w14:paraId="74E05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AC9B53">
            <w:pPr>
              <w:pStyle w:val="10"/>
              <w:jc w:val="left"/>
            </w:pPr>
            <w:r>
              <w:rPr>
                <w:rFonts w:ascii="仿宋_GB2312" w:hAnsi="仿宋_GB2312" w:eastAsia="仿宋_GB2312" w:cs="仿宋_GB2312"/>
              </w:rPr>
              <w:t>第二节 第7.2款</w:t>
            </w:r>
          </w:p>
        </w:tc>
        <w:tc>
          <w:tcPr>
            <w:tcW w:w="2769" w:type="dxa"/>
          </w:tcPr>
          <w:p w14:paraId="4185082F">
            <w:pPr>
              <w:pStyle w:val="10"/>
              <w:jc w:val="left"/>
            </w:pPr>
            <w:r>
              <w:rPr>
                <w:rFonts w:ascii="仿宋_GB2312" w:hAnsi="仿宋_GB2312" w:eastAsia="仿宋_GB2312" w:cs="仿宋_GB2312"/>
              </w:rPr>
              <w:t>运输特殊要求</w:t>
            </w:r>
          </w:p>
        </w:tc>
        <w:tc>
          <w:tcPr>
            <w:tcW w:w="2769" w:type="dxa"/>
          </w:tcPr>
          <w:p w14:paraId="7AC7D420">
            <w:pPr>
              <w:pStyle w:val="10"/>
              <w:jc w:val="left"/>
            </w:pPr>
          </w:p>
        </w:tc>
      </w:tr>
      <w:tr w14:paraId="27B41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A1BFAD">
            <w:pPr>
              <w:pStyle w:val="10"/>
              <w:jc w:val="left"/>
            </w:pPr>
            <w:r>
              <w:rPr>
                <w:rFonts w:ascii="仿宋_GB2312" w:hAnsi="仿宋_GB2312" w:eastAsia="仿宋_GB2312" w:cs="仿宋_GB2312"/>
              </w:rPr>
              <w:t>第二节 第7.3款</w:t>
            </w:r>
          </w:p>
        </w:tc>
        <w:tc>
          <w:tcPr>
            <w:tcW w:w="2769" w:type="dxa"/>
          </w:tcPr>
          <w:p w14:paraId="7EC95174">
            <w:pPr>
              <w:pStyle w:val="10"/>
              <w:jc w:val="left"/>
            </w:pPr>
            <w:r>
              <w:rPr>
                <w:rFonts w:ascii="仿宋_GB2312" w:hAnsi="仿宋_GB2312" w:eastAsia="仿宋_GB2312" w:cs="仿宋_GB2312"/>
              </w:rPr>
              <w:t>保险要求</w:t>
            </w:r>
          </w:p>
        </w:tc>
        <w:tc>
          <w:tcPr>
            <w:tcW w:w="2769" w:type="dxa"/>
          </w:tcPr>
          <w:p w14:paraId="67B50538">
            <w:pPr>
              <w:pStyle w:val="10"/>
              <w:jc w:val="left"/>
            </w:pPr>
          </w:p>
        </w:tc>
      </w:tr>
      <w:tr w14:paraId="0D681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35065A">
            <w:pPr>
              <w:pStyle w:val="10"/>
              <w:jc w:val="left"/>
            </w:pPr>
            <w:r>
              <w:rPr>
                <w:rFonts w:ascii="仿宋_GB2312" w:hAnsi="仿宋_GB2312" w:eastAsia="仿宋_GB2312" w:cs="仿宋_GB2312"/>
              </w:rPr>
              <w:t>第二节 第8.2（1）项</w:t>
            </w:r>
          </w:p>
        </w:tc>
        <w:tc>
          <w:tcPr>
            <w:tcW w:w="2769" w:type="dxa"/>
          </w:tcPr>
          <w:p w14:paraId="7A7254D9">
            <w:pPr>
              <w:pStyle w:val="10"/>
              <w:jc w:val="left"/>
            </w:pPr>
            <w:r>
              <w:rPr>
                <w:rFonts w:ascii="仿宋_GB2312" w:hAnsi="仿宋_GB2312" w:eastAsia="仿宋_GB2312" w:cs="仿宋_GB2312"/>
              </w:rPr>
              <w:t>质量保证期</w:t>
            </w:r>
          </w:p>
        </w:tc>
        <w:tc>
          <w:tcPr>
            <w:tcW w:w="2769" w:type="dxa"/>
          </w:tcPr>
          <w:p w14:paraId="2D9DFF18"/>
        </w:tc>
      </w:tr>
      <w:tr w14:paraId="67661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EBA51C">
            <w:pPr>
              <w:pStyle w:val="10"/>
              <w:jc w:val="left"/>
            </w:pPr>
            <w:r>
              <w:rPr>
                <w:rFonts w:ascii="仿宋_GB2312" w:hAnsi="仿宋_GB2312" w:eastAsia="仿宋_GB2312" w:cs="仿宋_GB2312"/>
              </w:rPr>
              <w:t>第二节 第8.2（3）项</w:t>
            </w:r>
          </w:p>
        </w:tc>
        <w:tc>
          <w:tcPr>
            <w:tcW w:w="2769" w:type="dxa"/>
          </w:tcPr>
          <w:p w14:paraId="6FC33640">
            <w:pPr>
              <w:pStyle w:val="10"/>
              <w:jc w:val="left"/>
            </w:pPr>
            <w:r>
              <w:rPr>
                <w:rFonts w:ascii="仿宋_GB2312" w:hAnsi="仿宋_GB2312" w:eastAsia="仿宋_GB2312" w:cs="仿宋_GB2312"/>
              </w:rPr>
              <w:t>货物质量缺陷响应时间</w:t>
            </w:r>
          </w:p>
        </w:tc>
        <w:tc>
          <w:tcPr>
            <w:tcW w:w="2769" w:type="dxa"/>
          </w:tcPr>
          <w:p w14:paraId="301E4A23"/>
        </w:tc>
      </w:tr>
      <w:tr w14:paraId="133A3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F3D5CB">
            <w:pPr>
              <w:pStyle w:val="10"/>
              <w:jc w:val="left"/>
            </w:pPr>
            <w:r>
              <w:rPr>
                <w:rFonts w:ascii="仿宋_GB2312" w:hAnsi="仿宋_GB2312" w:eastAsia="仿宋_GB2312" w:cs="仿宋_GB2312"/>
              </w:rPr>
              <w:t>第二节 第11.1款</w:t>
            </w:r>
          </w:p>
        </w:tc>
        <w:tc>
          <w:tcPr>
            <w:tcW w:w="2769" w:type="dxa"/>
          </w:tcPr>
          <w:p w14:paraId="74EB62CA">
            <w:pPr>
              <w:pStyle w:val="10"/>
              <w:jc w:val="left"/>
            </w:pPr>
            <w:r>
              <w:rPr>
                <w:rFonts w:ascii="仿宋_GB2312" w:hAnsi="仿宋_GB2312" w:eastAsia="仿宋_GB2312" w:cs="仿宋_GB2312"/>
              </w:rPr>
              <w:t>其他应当保密的信息</w:t>
            </w:r>
          </w:p>
        </w:tc>
        <w:tc>
          <w:tcPr>
            <w:tcW w:w="2769" w:type="dxa"/>
          </w:tcPr>
          <w:p w14:paraId="39FE7527"/>
        </w:tc>
      </w:tr>
      <w:tr w14:paraId="2AC9F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BBE9CB">
            <w:pPr>
              <w:pStyle w:val="10"/>
              <w:jc w:val="left"/>
            </w:pPr>
            <w:r>
              <w:rPr>
                <w:rFonts w:ascii="仿宋_GB2312" w:hAnsi="仿宋_GB2312" w:eastAsia="仿宋_GB2312" w:cs="仿宋_GB2312"/>
              </w:rPr>
              <w:t>第二节 第12.2款</w:t>
            </w:r>
          </w:p>
        </w:tc>
        <w:tc>
          <w:tcPr>
            <w:tcW w:w="2769" w:type="dxa"/>
          </w:tcPr>
          <w:p w14:paraId="5CCF5CEA">
            <w:pPr>
              <w:pStyle w:val="10"/>
              <w:jc w:val="left"/>
            </w:pPr>
            <w:r>
              <w:rPr>
                <w:rFonts w:ascii="仿宋_GB2312" w:hAnsi="仿宋_GB2312" w:eastAsia="仿宋_GB2312" w:cs="仿宋_GB2312"/>
              </w:rPr>
              <w:t>合同价款支付时间</w:t>
            </w:r>
          </w:p>
        </w:tc>
        <w:tc>
          <w:tcPr>
            <w:tcW w:w="2769" w:type="dxa"/>
          </w:tcPr>
          <w:p w14:paraId="2C8835A6"/>
        </w:tc>
      </w:tr>
      <w:tr w14:paraId="501AB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600C5A">
            <w:pPr>
              <w:pStyle w:val="10"/>
              <w:jc w:val="left"/>
            </w:pPr>
            <w:r>
              <w:rPr>
                <w:rFonts w:ascii="仿宋_GB2312" w:hAnsi="仿宋_GB2312" w:eastAsia="仿宋_GB2312" w:cs="仿宋_GB2312"/>
              </w:rPr>
              <w:t>第二节 第13.2款</w:t>
            </w:r>
          </w:p>
        </w:tc>
        <w:tc>
          <w:tcPr>
            <w:tcW w:w="2769" w:type="dxa"/>
          </w:tcPr>
          <w:p w14:paraId="1E7E7A72">
            <w:pPr>
              <w:pStyle w:val="10"/>
              <w:jc w:val="left"/>
            </w:pPr>
            <w:r>
              <w:rPr>
                <w:rFonts w:ascii="仿宋_GB2312" w:hAnsi="仿宋_GB2312" w:eastAsia="仿宋_GB2312" w:cs="仿宋_GB2312"/>
              </w:rPr>
              <w:t>履约保证金不予退还的情形</w:t>
            </w:r>
          </w:p>
        </w:tc>
        <w:tc>
          <w:tcPr>
            <w:tcW w:w="2769" w:type="dxa"/>
          </w:tcPr>
          <w:p w14:paraId="36F8FD8A"/>
        </w:tc>
      </w:tr>
      <w:tr w14:paraId="0E856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CD9103">
            <w:pPr>
              <w:pStyle w:val="10"/>
              <w:jc w:val="left"/>
            </w:pPr>
            <w:r>
              <w:rPr>
                <w:rFonts w:ascii="仿宋_GB2312" w:hAnsi="仿宋_GB2312" w:eastAsia="仿宋_GB2312" w:cs="仿宋_GB2312"/>
              </w:rPr>
              <w:t>第二节 第13.3款</w:t>
            </w:r>
          </w:p>
        </w:tc>
        <w:tc>
          <w:tcPr>
            <w:tcW w:w="2769" w:type="dxa"/>
          </w:tcPr>
          <w:p w14:paraId="641A5139">
            <w:pPr>
              <w:pStyle w:val="10"/>
              <w:jc w:val="left"/>
            </w:pPr>
            <w:r>
              <w:rPr>
                <w:rFonts w:ascii="仿宋_GB2312" w:hAnsi="仿宋_GB2312" w:eastAsia="仿宋_GB2312" w:cs="仿宋_GB2312"/>
              </w:rPr>
              <w:t>履约保证金退还时间及逾期退还的违约金</w:t>
            </w:r>
          </w:p>
        </w:tc>
        <w:tc>
          <w:tcPr>
            <w:tcW w:w="2769" w:type="dxa"/>
          </w:tcPr>
          <w:p w14:paraId="54357EF6"/>
        </w:tc>
      </w:tr>
      <w:tr w14:paraId="085E8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AE10A2">
            <w:pPr>
              <w:pStyle w:val="10"/>
              <w:jc w:val="left"/>
            </w:pPr>
            <w:r>
              <w:rPr>
                <w:rFonts w:ascii="仿宋_GB2312" w:hAnsi="仿宋_GB2312" w:eastAsia="仿宋_GB2312" w:cs="仿宋_GB2312"/>
              </w:rPr>
              <w:t>第二节 第14.1（3）项</w:t>
            </w:r>
          </w:p>
        </w:tc>
        <w:tc>
          <w:tcPr>
            <w:tcW w:w="2769" w:type="dxa"/>
          </w:tcPr>
          <w:p w14:paraId="17F26679">
            <w:pPr>
              <w:pStyle w:val="10"/>
              <w:jc w:val="left"/>
            </w:pPr>
            <w:r>
              <w:rPr>
                <w:rFonts w:ascii="仿宋_GB2312" w:hAnsi="仿宋_GB2312" w:eastAsia="仿宋_GB2312" w:cs="仿宋_GB2312"/>
              </w:rPr>
              <w:t>运行监督、维修期限</w:t>
            </w:r>
          </w:p>
        </w:tc>
        <w:tc>
          <w:tcPr>
            <w:tcW w:w="2769" w:type="dxa"/>
          </w:tcPr>
          <w:p w14:paraId="35375A36"/>
        </w:tc>
      </w:tr>
      <w:tr w14:paraId="059A9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EEB9F6">
            <w:pPr>
              <w:pStyle w:val="10"/>
              <w:jc w:val="left"/>
            </w:pPr>
            <w:r>
              <w:rPr>
                <w:rFonts w:ascii="仿宋_GB2312" w:hAnsi="仿宋_GB2312" w:eastAsia="仿宋_GB2312" w:cs="仿宋_GB2312"/>
              </w:rPr>
              <w:t>第二节 第14.1（5）项</w:t>
            </w:r>
          </w:p>
        </w:tc>
        <w:tc>
          <w:tcPr>
            <w:tcW w:w="2769" w:type="dxa"/>
          </w:tcPr>
          <w:p w14:paraId="22D7F13E">
            <w:pPr>
              <w:pStyle w:val="10"/>
              <w:jc w:val="left"/>
            </w:pPr>
            <w:r>
              <w:rPr>
                <w:rFonts w:ascii="仿宋_GB2312" w:hAnsi="仿宋_GB2312" w:eastAsia="仿宋_GB2312" w:cs="仿宋_GB2312"/>
              </w:rPr>
              <w:t>货物回收的约定</w:t>
            </w:r>
          </w:p>
        </w:tc>
        <w:tc>
          <w:tcPr>
            <w:tcW w:w="2769" w:type="dxa"/>
          </w:tcPr>
          <w:p w14:paraId="772E474A"/>
        </w:tc>
      </w:tr>
      <w:tr w14:paraId="16C97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95C3F0">
            <w:pPr>
              <w:pStyle w:val="10"/>
              <w:jc w:val="left"/>
            </w:pPr>
            <w:r>
              <w:rPr>
                <w:rFonts w:ascii="仿宋_GB2312" w:hAnsi="仿宋_GB2312" w:eastAsia="仿宋_GB2312" w:cs="仿宋_GB2312"/>
              </w:rPr>
              <w:t>第二节 第14.1（6）项</w:t>
            </w:r>
          </w:p>
        </w:tc>
        <w:tc>
          <w:tcPr>
            <w:tcW w:w="2769" w:type="dxa"/>
          </w:tcPr>
          <w:p w14:paraId="5A59F23D">
            <w:pPr>
              <w:pStyle w:val="10"/>
              <w:jc w:val="left"/>
            </w:pPr>
            <w:r>
              <w:rPr>
                <w:rFonts w:ascii="仿宋_GB2312" w:hAnsi="仿宋_GB2312" w:eastAsia="仿宋_GB2312" w:cs="仿宋_GB2312"/>
              </w:rPr>
              <w:t>乙方提供的其他服务</w:t>
            </w:r>
          </w:p>
        </w:tc>
        <w:tc>
          <w:tcPr>
            <w:tcW w:w="2769" w:type="dxa"/>
          </w:tcPr>
          <w:p w14:paraId="4D86597C"/>
        </w:tc>
      </w:tr>
      <w:tr w14:paraId="71C01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7A24D0">
            <w:pPr>
              <w:pStyle w:val="10"/>
              <w:jc w:val="left"/>
            </w:pPr>
            <w:r>
              <w:rPr>
                <w:rFonts w:ascii="仿宋_GB2312" w:hAnsi="仿宋_GB2312" w:eastAsia="仿宋_GB2312" w:cs="仿宋_GB2312"/>
              </w:rPr>
              <w:t>第二节 第15.1款</w:t>
            </w:r>
          </w:p>
        </w:tc>
        <w:tc>
          <w:tcPr>
            <w:tcW w:w="2769" w:type="dxa"/>
          </w:tcPr>
          <w:p w14:paraId="6525DE61">
            <w:pPr>
              <w:pStyle w:val="10"/>
              <w:jc w:val="left"/>
            </w:pPr>
            <w:r>
              <w:rPr>
                <w:rFonts w:ascii="仿宋_GB2312" w:hAnsi="仿宋_GB2312" w:eastAsia="仿宋_GB2312" w:cs="仿宋_GB2312"/>
              </w:rPr>
              <w:t>修理、重作、更换相关具体规定</w:t>
            </w:r>
          </w:p>
        </w:tc>
        <w:tc>
          <w:tcPr>
            <w:tcW w:w="2769" w:type="dxa"/>
          </w:tcPr>
          <w:p w14:paraId="11CD514C"/>
        </w:tc>
      </w:tr>
      <w:tr w14:paraId="64D4C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D68C60">
            <w:pPr>
              <w:pStyle w:val="10"/>
              <w:jc w:val="left"/>
            </w:pPr>
            <w:r>
              <w:rPr>
                <w:rFonts w:ascii="仿宋_GB2312" w:hAnsi="仿宋_GB2312" w:eastAsia="仿宋_GB2312" w:cs="仿宋_GB2312"/>
              </w:rPr>
              <w:t>第二节 第15.2（2）项</w:t>
            </w:r>
          </w:p>
        </w:tc>
        <w:tc>
          <w:tcPr>
            <w:tcW w:w="2769" w:type="dxa"/>
          </w:tcPr>
          <w:p w14:paraId="7C6FC62C">
            <w:pPr>
              <w:pStyle w:val="10"/>
              <w:jc w:val="left"/>
            </w:pPr>
            <w:r>
              <w:rPr>
                <w:rFonts w:ascii="仿宋_GB2312" w:hAnsi="仿宋_GB2312" w:eastAsia="仿宋_GB2312" w:cs="仿宋_GB2312"/>
              </w:rPr>
              <w:t>迟延交货赔偿费</w:t>
            </w:r>
          </w:p>
        </w:tc>
        <w:tc>
          <w:tcPr>
            <w:tcW w:w="2769" w:type="dxa"/>
          </w:tcPr>
          <w:p w14:paraId="0C1F0AA4"/>
        </w:tc>
      </w:tr>
      <w:tr w14:paraId="59BB9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5C75C9">
            <w:pPr>
              <w:pStyle w:val="10"/>
              <w:jc w:val="left"/>
            </w:pPr>
            <w:r>
              <w:rPr>
                <w:rFonts w:ascii="仿宋_GB2312" w:hAnsi="仿宋_GB2312" w:eastAsia="仿宋_GB2312" w:cs="仿宋_GB2312"/>
              </w:rPr>
              <w:t>第二节 第15.3款</w:t>
            </w:r>
          </w:p>
        </w:tc>
        <w:tc>
          <w:tcPr>
            <w:tcW w:w="2769" w:type="dxa"/>
          </w:tcPr>
          <w:p w14:paraId="2FE789D2">
            <w:pPr>
              <w:pStyle w:val="10"/>
              <w:jc w:val="left"/>
            </w:pPr>
            <w:r>
              <w:rPr>
                <w:rFonts w:ascii="仿宋_GB2312" w:hAnsi="仿宋_GB2312" w:eastAsia="仿宋_GB2312" w:cs="仿宋_GB2312"/>
              </w:rPr>
              <w:t>逾期付款利息</w:t>
            </w:r>
          </w:p>
        </w:tc>
        <w:tc>
          <w:tcPr>
            <w:tcW w:w="2769" w:type="dxa"/>
          </w:tcPr>
          <w:p w14:paraId="76BBE0BC"/>
        </w:tc>
      </w:tr>
      <w:tr w14:paraId="413B9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8856B7">
            <w:pPr>
              <w:pStyle w:val="10"/>
              <w:jc w:val="left"/>
            </w:pPr>
            <w:r>
              <w:rPr>
                <w:rFonts w:ascii="仿宋_GB2312" w:hAnsi="仿宋_GB2312" w:eastAsia="仿宋_GB2312" w:cs="仿宋_GB2312"/>
              </w:rPr>
              <w:t>第二节 第15.4款</w:t>
            </w:r>
          </w:p>
        </w:tc>
        <w:tc>
          <w:tcPr>
            <w:tcW w:w="2769" w:type="dxa"/>
          </w:tcPr>
          <w:p w14:paraId="02239FA0">
            <w:pPr>
              <w:pStyle w:val="10"/>
              <w:jc w:val="left"/>
            </w:pPr>
            <w:r>
              <w:rPr>
                <w:rFonts w:ascii="仿宋_GB2312" w:hAnsi="仿宋_GB2312" w:eastAsia="仿宋_GB2312" w:cs="仿宋_GB2312"/>
              </w:rPr>
              <w:t>其他违约责任</w:t>
            </w:r>
          </w:p>
        </w:tc>
        <w:tc>
          <w:tcPr>
            <w:tcW w:w="2769" w:type="dxa"/>
          </w:tcPr>
          <w:p w14:paraId="325E58E9"/>
        </w:tc>
      </w:tr>
      <w:tr w14:paraId="4160B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C0E15C">
            <w:pPr>
              <w:pStyle w:val="10"/>
              <w:jc w:val="left"/>
            </w:pPr>
            <w:r>
              <w:rPr>
                <w:rFonts w:ascii="仿宋_GB2312" w:hAnsi="仿宋_GB2312" w:eastAsia="仿宋_GB2312" w:cs="仿宋_GB2312"/>
              </w:rPr>
              <w:t>第二节 第19.2款</w:t>
            </w:r>
          </w:p>
        </w:tc>
        <w:tc>
          <w:tcPr>
            <w:tcW w:w="2769" w:type="dxa"/>
          </w:tcPr>
          <w:p w14:paraId="7E3EAE2E">
            <w:pPr>
              <w:pStyle w:val="10"/>
              <w:jc w:val="left"/>
            </w:pPr>
            <w:r>
              <w:rPr>
                <w:rFonts w:ascii="仿宋_GB2312" w:hAnsi="仿宋_GB2312" w:eastAsia="仿宋_GB2312" w:cs="仿宋_GB2312"/>
              </w:rPr>
              <w:t>解决争议的方法</w:t>
            </w:r>
          </w:p>
        </w:tc>
        <w:tc>
          <w:tcPr>
            <w:tcW w:w="2769" w:type="dxa"/>
          </w:tcPr>
          <w:p w14:paraId="0E7C825A">
            <w:pPr>
              <w:pStyle w:val="10"/>
              <w:jc w:val="left"/>
            </w:pPr>
            <w:r>
              <w:rPr>
                <w:rFonts w:ascii="仿宋_GB2312" w:hAnsi="仿宋_GB2312" w:eastAsia="仿宋_GB2312" w:cs="仿宋_GB2312"/>
              </w:rPr>
              <w:t xml:space="preserve"> 因本合同及合同有关事项发生的争议，按下列第____ 种方式解决：</w:t>
            </w:r>
          </w:p>
          <w:p w14:paraId="280592EA">
            <w:pPr>
              <w:pStyle w:val="10"/>
              <w:jc w:val="left"/>
            </w:pPr>
            <w:r>
              <w:rPr>
                <w:rFonts w:ascii="仿宋_GB2312" w:hAnsi="仿宋_GB2312" w:eastAsia="仿宋_GB2312" w:cs="仿宋_GB2312"/>
              </w:rPr>
              <w:t xml:space="preserve"> （1）向 __________________仲裁委员会申请仲裁，仲裁地点为 ____________ ；</w:t>
            </w:r>
          </w:p>
          <w:p w14:paraId="53A14146">
            <w:pPr>
              <w:pStyle w:val="10"/>
              <w:jc w:val="left"/>
            </w:pPr>
            <w:r>
              <w:rPr>
                <w:rFonts w:ascii="仿宋_GB2312" w:hAnsi="仿宋_GB2312" w:eastAsia="仿宋_GB2312" w:cs="仿宋_GB2312"/>
              </w:rPr>
              <w:t xml:space="preserve"> （2）向__________________人民法院起诉。</w:t>
            </w:r>
          </w:p>
        </w:tc>
      </w:tr>
      <w:tr w14:paraId="158C5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F12248">
            <w:pPr>
              <w:pStyle w:val="10"/>
              <w:jc w:val="left"/>
            </w:pPr>
            <w:r>
              <w:rPr>
                <w:rFonts w:ascii="仿宋_GB2312" w:hAnsi="仿宋_GB2312" w:eastAsia="仿宋_GB2312" w:cs="仿宋_GB2312"/>
              </w:rPr>
              <w:t>第二节 第23.1款</w:t>
            </w:r>
          </w:p>
        </w:tc>
        <w:tc>
          <w:tcPr>
            <w:tcW w:w="2769" w:type="dxa"/>
          </w:tcPr>
          <w:p w14:paraId="23A375ED">
            <w:pPr>
              <w:pStyle w:val="10"/>
              <w:jc w:val="left"/>
            </w:pPr>
            <w:r>
              <w:rPr>
                <w:rFonts w:ascii="仿宋_GB2312" w:hAnsi="仿宋_GB2312" w:eastAsia="仿宋_GB2312" w:cs="仿宋_GB2312"/>
              </w:rPr>
              <w:t>其他专用条款</w:t>
            </w:r>
          </w:p>
        </w:tc>
        <w:tc>
          <w:tcPr>
            <w:tcW w:w="2769" w:type="dxa"/>
          </w:tcPr>
          <w:p w14:paraId="0F6DB7C3"/>
        </w:tc>
      </w:tr>
    </w:tbl>
    <w:p w14:paraId="361D37F8">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3C6F42">
      <w:pPr>
        <w:pStyle w:val="10"/>
        <w:jc w:val="center"/>
        <w:outlineLvl w:val="1"/>
      </w:pPr>
      <w:r>
        <w:rPr>
          <w:rFonts w:ascii="仿宋_GB2312" w:hAnsi="仿宋_GB2312" w:eastAsia="仿宋_GB2312" w:cs="仿宋_GB2312"/>
          <w:b/>
          <w:sz w:val="36"/>
        </w:rPr>
        <w:t>第六章 响应文件格式</w:t>
      </w:r>
    </w:p>
    <w:p w14:paraId="28FCC543">
      <w:pPr>
        <w:pStyle w:val="10"/>
        <w:jc w:val="center"/>
        <w:outlineLvl w:val="2"/>
      </w:pPr>
      <w:r>
        <w:rPr>
          <w:rFonts w:ascii="仿宋_GB2312" w:hAnsi="仿宋_GB2312" w:eastAsia="仿宋_GB2312" w:cs="仿宋_GB2312"/>
          <w:b/>
          <w:sz w:val="28"/>
        </w:rPr>
        <w:t>封面</w:t>
      </w:r>
    </w:p>
    <w:p w14:paraId="70A1DA34">
      <w:pPr>
        <w:pStyle w:val="10"/>
        <w:jc w:val="center"/>
        <w:outlineLvl w:val="0"/>
      </w:pPr>
      <w:r>
        <w:rPr>
          <w:rFonts w:ascii="仿宋_GB2312" w:hAnsi="仿宋_GB2312" w:eastAsia="仿宋_GB2312" w:cs="仿宋_GB2312"/>
          <w:b/>
          <w:sz w:val="48"/>
        </w:rPr>
        <w:t>政府采购货物项目</w:t>
      </w:r>
    </w:p>
    <w:p w14:paraId="00FFE40B">
      <w:pPr>
        <w:pStyle w:val="10"/>
        <w:jc w:val="center"/>
        <w:outlineLvl w:val="0"/>
      </w:pPr>
      <w:r>
        <w:rPr>
          <w:rFonts w:ascii="仿宋_GB2312" w:hAnsi="仿宋_GB2312" w:eastAsia="仿宋_GB2312" w:cs="仿宋_GB2312"/>
          <w:b/>
          <w:sz w:val="48"/>
        </w:rPr>
        <w:t>响应文件</w:t>
      </w:r>
      <w:r>
        <w:br w:type="textWrapping"/>
      </w:r>
      <w:r>
        <w:br w:type="textWrapping"/>
      </w:r>
      <w:r>
        <w:br w:type="textWrapping"/>
      </w:r>
      <w:r>
        <w:br w:type="textWrapping"/>
      </w:r>
    </w:p>
    <w:p w14:paraId="30BC669B">
      <w:pPr>
        <w:pStyle w:val="10"/>
        <w:jc w:val="center"/>
        <w:outlineLvl w:val="2"/>
      </w:pPr>
      <w:r>
        <w:rPr>
          <w:rFonts w:ascii="仿宋_GB2312" w:hAnsi="仿宋_GB2312" w:eastAsia="仿宋_GB2312" w:cs="仿宋_GB2312"/>
          <w:b/>
          <w:sz w:val="28"/>
        </w:rPr>
        <w:t>项目名称：</w:t>
      </w:r>
      <w:r>
        <w:rPr>
          <w:rFonts w:ascii="仿宋_GB2312" w:hAnsi="仿宋_GB2312" w:eastAsia="仿宋_GB2312" w:cs="仿宋_GB2312"/>
          <w:b/>
          <w:sz w:val="28"/>
          <w:u w:val="single"/>
        </w:rPr>
        <w:t>　　　　　</w:t>
      </w:r>
    </w:p>
    <w:p w14:paraId="360D0663">
      <w:pPr>
        <w:pStyle w:val="10"/>
        <w:jc w:val="center"/>
        <w:outlineLvl w:val="2"/>
      </w:pPr>
      <w:r>
        <w:rPr>
          <w:rFonts w:ascii="仿宋_GB2312" w:hAnsi="仿宋_GB2312" w:eastAsia="仿宋_GB2312" w:cs="仿宋_GB2312"/>
          <w:b/>
          <w:sz w:val="28"/>
        </w:rPr>
        <w:t>项目编号：</w:t>
      </w:r>
      <w:r>
        <w:rPr>
          <w:rFonts w:ascii="仿宋_GB2312" w:hAnsi="仿宋_GB2312" w:eastAsia="仿宋_GB2312" w:cs="仿宋_GB2312"/>
          <w:b/>
          <w:sz w:val="28"/>
          <w:u w:val="single"/>
        </w:rPr>
        <w:t>　　　　　</w:t>
      </w:r>
    </w:p>
    <w:p w14:paraId="6616AF0E">
      <w:pPr>
        <w:pStyle w:val="10"/>
        <w:jc w:val="center"/>
        <w:outlineLvl w:val="2"/>
      </w:pPr>
      <w:r>
        <w:rPr>
          <w:rFonts w:ascii="仿宋_GB2312" w:hAnsi="仿宋_GB2312" w:eastAsia="仿宋_GB2312" w:cs="仿宋_GB2312"/>
          <w:b/>
          <w:sz w:val="28"/>
        </w:rPr>
        <w:t>采购包：</w:t>
      </w:r>
      <w:r>
        <w:rPr>
          <w:rFonts w:ascii="仿宋_GB2312" w:hAnsi="仿宋_GB2312" w:eastAsia="仿宋_GB2312" w:cs="仿宋_GB2312"/>
          <w:b/>
          <w:sz w:val="28"/>
          <w:u w:val="single"/>
        </w:rPr>
        <w:t>　　　　　</w:t>
      </w:r>
      <w:r>
        <w:br w:type="textWrapping"/>
      </w:r>
      <w:r>
        <w:br w:type="textWrapping"/>
      </w:r>
      <w:r>
        <w:br w:type="textWrapping"/>
      </w:r>
      <w:r>
        <w:br w:type="textWrapping"/>
      </w:r>
    </w:p>
    <w:p w14:paraId="6CC6ED3C">
      <w:pPr>
        <w:pStyle w:val="10"/>
        <w:jc w:val="center"/>
        <w:outlineLvl w:val="2"/>
      </w:pPr>
      <w:r>
        <w:rPr>
          <w:rFonts w:ascii="仿宋_GB2312" w:hAnsi="仿宋_GB2312" w:eastAsia="仿宋_GB2312" w:cs="仿宋_GB2312"/>
          <w:b/>
          <w:sz w:val="28"/>
        </w:rPr>
        <w:t>供应商名称：</w:t>
      </w:r>
    </w:p>
    <w:p w14:paraId="2EDF1127">
      <w:pPr>
        <w:pStyle w:val="10"/>
        <w:jc w:val="center"/>
        <w:outlineLvl w:val="2"/>
      </w:pPr>
      <w:r>
        <w:rPr>
          <w:rFonts w:ascii="仿宋_GB2312" w:hAnsi="仿宋_GB2312" w:eastAsia="仿宋_GB2312" w:cs="仿宋_GB2312"/>
          <w:b/>
          <w:sz w:val="28"/>
        </w:rPr>
        <w:t>日期：</w:t>
      </w:r>
    </w:p>
    <w:p w14:paraId="0E5E438F">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ED050D">
      <w:pPr>
        <w:pStyle w:val="10"/>
        <w:jc w:val="center"/>
        <w:outlineLvl w:val="2"/>
      </w:pPr>
      <w:r>
        <w:rPr>
          <w:rFonts w:ascii="仿宋_GB2312" w:hAnsi="仿宋_GB2312" w:eastAsia="仿宋_GB2312" w:cs="仿宋_GB2312"/>
          <w:b/>
          <w:sz w:val="28"/>
        </w:rPr>
        <w:t>目录</w:t>
      </w:r>
    </w:p>
    <w:p w14:paraId="2B6FB809">
      <w:pPr>
        <w:pStyle w:val="10"/>
        <w:ind w:firstLine="480"/>
        <w:jc w:val="left"/>
      </w:pPr>
      <w:r>
        <w:rPr>
          <w:rFonts w:ascii="仿宋_GB2312" w:hAnsi="仿宋_GB2312" w:eastAsia="仿宋_GB2312" w:cs="仿宋_GB2312"/>
        </w:rPr>
        <w:t>1、询价响应声明</w:t>
      </w:r>
    </w:p>
    <w:p w14:paraId="77303893">
      <w:pPr>
        <w:pStyle w:val="10"/>
        <w:ind w:firstLine="480"/>
        <w:jc w:val="left"/>
      </w:pPr>
      <w:r>
        <w:rPr>
          <w:rFonts w:ascii="仿宋_GB2312" w:hAnsi="仿宋_GB2312" w:eastAsia="仿宋_GB2312" w:cs="仿宋_GB2312"/>
        </w:rPr>
        <w:t>2、开标（报价）一览表</w:t>
      </w:r>
    </w:p>
    <w:p w14:paraId="252665BB">
      <w:pPr>
        <w:pStyle w:val="10"/>
        <w:ind w:firstLine="480"/>
        <w:jc w:val="left"/>
      </w:pPr>
      <w:r>
        <w:rPr>
          <w:rFonts w:ascii="仿宋_GB2312" w:hAnsi="仿宋_GB2312" w:eastAsia="仿宋_GB2312" w:cs="仿宋_GB2312"/>
        </w:rPr>
        <w:t>3、投标（响应）报价明细表</w:t>
      </w:r>
    </w:p>
    <w:p w14:paraId="109AF575">
      <w:pPr>
        <w:pStyle w:val="10"/>
        <w:ind w:firstLine="480"/>
        <w:jc w:val="left"/>
      </w:pPr>
      <w:r>
        <w:rPr>
          <w:rFonts w:ascii="仿宋_GB2312" w:hAnsi="仿宋_GB2312" w:eastAsia="仿宋_GB2312" w:cs="仿宋_GB2312"/>
        </w:rPr>
        <w:t>4、资格证明文件</w:t>
      </w:r>
    </w:p>
    <w:p w14:paraId="08A1C18F">
      <w:pPr>
        <w:pStyle w:val="10"/>
        <w:ind w:firstLine="480"/>
        <w:jc w:val="left"/>
      </w:pPr>
      <w:r>
        <w:rPr>
          <w:rFonts w:ascii="仿宋_GB2312" w:hAnsi="仿宋_GB2312" w:eastAsia="仿宋_GB2312" w:cs="仿宋_GB2312"/>
        </w:rPr>
        <w:t>4、资格证明文件</w:t>
      </w:r>
    </w:p>
    <w:p w14:paraId="360FB1CC">
      <w:pPr>
        <w:pStyle w:val="10"/>
        <w:ind w:firstLine="480"/>
        <w:jc w:val="left"/>
      </w:pPr>
      <w:r>
        <w:rPr>
          <w:rFonts w:ascii="仿宋_GB2312" w:hAnsi="仿宋_GB2312" w:eastAsia="仿宋_GB2312" w:cs="仿宋_GB2312"/>
        </w:rPr>
        <w:t>4-1单位负责人授权书</w:t>
      </w:r>
    </w:p>
    <w:p w14:paraId="33055A81">
      <w:pPr>
        <w:pStyle w:val="10"/>
        <w:ind w:firstLine="480"/>
        <w:jc w:val="left"/>
      </w:pPr>
      <w:r>
        <w:rPr>
          <w:rFonts w:ascii="仿宋_GB2312" w:hAnsi="仿宋_GB2312" w:eastAsia="仿宋_GB2312" w:cs="仿宋_GB2312"/>
        </w:rPr>
        <w:t>4-3财务状况报告</w:t>
      </w:r>
    </w:p>
    <w:p w14:paraId="1DA3A4D5">
      <w:pPr>
        <w:pStyle w:val="10"/>
        <w:ind w:firstLine="480"/>
        <w:jc w:val="left"/>
      </w:pPr>
      <w:r>
        <w:rPr>
          <w:rFonts w:ascii="仿宋_GB2312" w:hAnsi="仿宋_GB2312" w:eastAsia="仿宋_GB2312" w:cs="仿宋_GB2312"/>
        </w:rPr>
        <w:t>4-4依法缴纳税收证明材料</w:t>
      </w:r>
    </w:p>
    <w:p w14:paraId="490EA962">
      <w:pPr>
        <w:pStyle w:val="10"/>
        <w:ind w:firstLine="480"/>
        <w:jc w:val="left"/>
      </w:pPr>
      <w:r>
        <w:rPr>
          <w:rFonts w:ascii="仿宋_GB2312" w:hAnsi="仿宋_GB2312" w:eastAsia="仿宋_GB2312" w:cs="仿宋_GB2312"/>
        </w:rPr>
        <w:t>4-5依法缴纳社会保障资金证明材料</w:t>
      </w:r>
    </w:p>
    <w:p w14:paraId="29996CCD">
      <w:pPr>
        <w:pStyle w:val="10"/>
        <w:ind w:firstLine="480"/>
        <w:jc w:val="left"/>
      </w:pPr>
      <w:r>
        <w:rPr>
          <w:rFonts w:ascii="仿宋_GB2312" w:hAnsi="仿宋_GB2312" w:eastAsia="仿宋_GB2312" w:cs="仿宋_GB2312"/>
        </w:rPr>
        <w:t>4-6具备履行合同所必需设备和专业技术能力证明材料</w:t>
      </w:r>
    </w:p>
    <w:p w14:paraId="6286D69A">
      <w:pPr>
        <w:pStyle w:val="10"/>
        <w:ind w:firstLine="480"/>
        <w:jc w:val="left"/>
      </w:pPr>
      <w:r>
        <w:rPr>
          <w:rFonts w:ascii="仿宋_GB2312" w:hAnsi="仿宋_GB2312" w:eastAsia="仿宋_GB2312" w:cs="仿宋_GB2312"/>
        </w:rPr>
        <w:t>4-7参加采购活动前三年内在经营活动中没有重大违法记录书面声明</w:t>
      </w:r>
    </w:p>
    <w:p w14:paraId="52C8EA13">
      <w:pPr>
        <w:pStyle w:val="10"/>
        <w:ind w:firstLine="480"/>
        <w:jc w:val="left"/>
      </w:pPr>
      <w:r>
        <w:rPr>
          <w:rFonts w:ascii="仿宋_GB2312" w:hAnsi="仿宋_GB2312" w:eastAsia="仿宋_GB2312" w:cs="仿宋_GB2312"/>
        </w:rPr>
        <w:t>4-8信用记录查询结果</w:t>
      </w:r>
    </w:p>
    <w:p w14:paraId="636DCF8B">
      <w:pPr>
        <w:pStyle w:val="10"/>
        <w:ind w:firstLine="480"/>
        <w:jc w:val="left"/>
      </w:pPr>
      <w:r>
        <w:rPr>
          <w:rFonts w:ascii="仿宋_GB2312" w:hAnsi="仿宋_GB2312" w:eastAsia="仿宋_GB2312" w:cs="仿宋_GB2312"/>
        </w:rPr>
        <w:t>5、技术要求响应表</w:t>
      </w:r>
    </w:p>
    <w:p w14:paraId="66C26353">
      <w:pPr>
        <w:pStyle w:val="10"/>
        <w:ind w:firstLine="480"/>
        <w:jc w:val="left"/>
      </w:pPr>
      <w:r>
        <w:rPr>
          <w:rFonts w:ascii="仿宋_GB2312" w:hAnsi="仿宋_GB2312" w:eastAsia="仿宋_GB2312" w:cs="仿宋_GB2312"/>
        </w:rPr>
        <w:t>6、商务条件响应表</w:t>
      </w:r>
    </w:p>
    <w:p w14:paraId="212E1272">
      <w:pPr>
        <w:pStyle w:val="10"/>
        <w:ind w:firstLine="480"/>
        <w:jc w:val="left"/>
      </w:pPr>
      <w:r>
        <w:rPr>
          <w:rFonts w:ascii="仿宋_GB2312" w:hAnsi="仿宋_GB2312" w:eastAsia="仿宋_GB2312" w:cs="仿宋_GB2312"/>
        </w:rPr>
        <w:t>7、提供政府采购政策产品等证明材料</w:t>
      </w:r>
    </w:p>
    <w:p w14:paraId="40D5F387">
      <w:pPr>
        <w:pStyle w:val="10"/>
        <w:ind w:firstLine="480"/>
        <w:jc w:val="left"/>
      </w:pPr>
      <w:r>
        <w:rPr>
          <w:rFonts w:ascii="仿宋_GB2312" w:hAnsi="仿宋_GB2312" w:eastAsia="仿宋_GB2312" w:cs="仿宋_GB2312"/>
        </w:rPr>
        <w:t>7-1优先类节能产品、环境标志产品统计表</w:t>
      </w:r>
    </w:p>
    <w:p w14:paraId="6A2462D4">
      <w:pPr>
        <w:pStyle w:val="10"/>
        <w:ind w:firstLine="480"/>
        <w:jc w:val="left"/>
      </w:pPr>
      <w:r>
        <w:rPr>
          <w:rFonts w:ascii="仿宋_GB2312" w:hAnsi="仿宋_GB2312" w:eastAsia="仿宋_GB2312" w:cs="仿宋_GB2312"/>
        </w:rPr>
        <w:t>7-2中小企业声明函</w:t>
      </w:r>
    </w:p>
    <w:p w14:paraId="04CD0F20">
      <w:pPr>
        <w:pStyle w:val="10"/>
        <w:ind w:firstLine="480"/>
        <w:jc w:val="left"/>
      </w:pPr>
      <w:r>
        <w:rPr>
          <w:rFonts w:ascii="仿宋_GB2312" w:hAnsi="仿宋_GB2312" w:eastAsia="仿宋_GB2312" w:cs="仿宋_GB2312"/>
        </w:rPr>
        <w:t>7-3残疾人福利性单位声明函</w:t>
      </w:r>
    </w:p>
    <w:p w14:paraId="2EC3C09C">
      <w:pPr>
        <w:pStyle w:val="10"/>
        <w:ind w:firstLine="480"/>
        <w:jc w:val="left"/>
      </w:pPr>
      <w:r>
        <w:rPr>
          <w:rFonts w:ascii="仿宋_GB2312" w:hAnsi="仿宋_GB2312" w:eastAsia="仿宋_GB2312" w:cs="仿宋_GB2312"/>
        </w:rPr>
        <w:t>7-4监狱企业证明材料</w:t>
      </w:r>
    </w:p>
    <w:p w14:paraId="7A53FF63">
      <w:pPr>
        <w:pStyle w:val="10"/>
        <w:ind w:firstLine="480"/>
        <w:jc w:val="left"/>
      </w:pPr>
      <w:r>
        <w:rPr>
          <w:rFonts w:ascii="仿宋_GB2312" w:hAnsi="仿宋_GB2312" w:eastAsia="仿宋_GB2312" w:cs="仿宋_GB2312"/>
        </w:rPr>
        <w:t>8、联合体协议（若有）</w:t>
      </w:r>
    </w:p>
    <w:p w14:paraId="6FB184EF">
      <w:pPr>
        <w:pStyle w:val="10"/>
        <w:ind w:firstLine="480"/>
        <w:jc w:val="left"/>
      </w:pPr>
      <w:r>
        <w:rPr>
          <w:rFonts w:ascii="仿宋_GB2312" w:hAnsi="仿宋_GB2312" w:eastAsia="仿宋_GB2312" w:cs="仿宋_GB2312"/>
        </w:rPr>
        <w:t>9、分包意向协议（若有）</w:t>
      </w:r>
    </w:p>
    <w:p w14:paraId="39035B58">
      <w:pPr>
        <w:pStyle w:val="10"/>
        <w:ind w:firstLine="480"/>
        <w:jc w:val="left"/>
      </w:pPr>
      <w:r>
        <w:rPr>
          <w:rFonts w:ascii="仿宋_GB2312" w:hAnsi="仿宋_GB2312" w:eastAsia="仿宋_GB2312" w:cs="仿宋_GB2312"/>
        </w:rPr>
        <w:t>10、询价保证金凭证</w:t>
      </w:r>
    </w:p>
    <w:p w14:paraId="218DE682">
      <w:pPr>
        <w:pStyle w:val="10"/>
        <w:ind w:firstLine="480"/>
        <w:jc w:val="left"/>
      </w:pPr>
      <w:r>
        <w:rPr>
          <w:rFonts w:ascii="仿宋_GB2312" w:hAnsi="仿宋_GB2312" w:eastAsia="仿宋_GB2312" w:cs="仿宋_GB2312"/>
        </w:rPr>
        <w:t>11、要求作为响应文件组成部分的其他材料（若有）</w:t>
      </w:r>
    </w:p>
    <w:p w14:paraId="242BDD6A">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44ADD1">
      <w:pPr>
        <w:pStyle w:val="10"/>
        <w:jc w:val="center"/>
        <w:outlineLvl w:val="2"/>
      </w:pPr>
      <w:r>
        <w:rPr>
          <w:rFonts w:ascii="仿宋_GB2312" w:hAnsi="仿宋_GB2312" w:eastAsia="仿宋_GB2312" w:cs="仿宋_GB2312"/>
          <w:b/>
          <w:sz w:val="28"/>
        </w:rPr>
        <w:t>1、询价响应声明</w:t>
      </w:r>
    </w:p>
    <w:p w14:paraId="368D4418">
      <w:pPr>
        <w:pStyle w:val="10"/>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 xml:space="preserve">          （采购人或采购代理机构）</w:t>
      </w:r>
    </w:p>
    <w:p w14:paraId="4A5FB795">
      <w:pPr>
        <w:pStyle w:val="10"/>
        <w:ind w:firstLine="480"/>
        <w:jc w:val="left"/>
      </w:pPr>
      <w:r>
        <w:rPr>
          <w:rFonts w:ascii="仿宋_GB2312" w:hAnsi="仿宋_GB2312" w:eastAsia="仿宋_GB2312" w:cs="仿宋_GB2312"/>
        </w:rPr>
        <w:t>根据贵方为</w:t>
      </w:r>
      <w:r>
        <w:rPr>
          <w:rFonts w:ascii="仿宋_GB2312" w:hAnsi="仿宋_GB2312" w:eastAsia="仿宋_GB2312" w:cs="仿宋_GB2312"/>
          <w:u w:val="single"/>
        </w:rPr>
        <w:t xml:space="preserve">          </w:t>
      </w:r>
      <w:r>
        <w:rPr>
          <w:rFonts w:ascii="仿宋_GB2312" w:hAnsi="仿宋_GB2312" w:eastAsia="仿宋_GB2312" w:cs="仿宋_GB2312"/>
        </w:rPr>
        <w:t>（项目名称）（项目编号：</w:t>
      </w:r>
      <w:r>
        <w:rPr>
          <w:rFonts w:ascii="仿宋_GB2312" w:hAnsi="仿宋_GB2312" w:eastAsia="仿宋_GB2312" w:cs="仿宋_GB2312"/>
          <w:u w:val="single"/>
        </w:rPr>
        <w:t xml:space="preserve">      </w:t>
      </w:r>
      <w:r>
        <w:rPr>
          <w:rFonts w:ascii="仿宋_GB2312" w:hAnsi="仿宋_GB2312" w:eastAsia="仿宋_GB2312" w:cs="仿宋_GB2312"/>
        </w:rPr>
        <w:t>）的询价通知书，本人</w:t>
      </w:r>
      <w:r>
        <w:rPr>
          <w:rFonts w:ascii="仿宋_GB2312" w:hAnsi="仿宋_GB2312" w:eastAsia="仿宋_GB2312" w:cs="仿宋_GB2312"/>
          <w:u w:val="single"/>
        </w:rPr>
        <w:t xml:space="preserve">   </w:t>
      </w:r>
      <w:r>
        <w:rPr>
          <w:rFonts w:ascii="仿宋_GB2312" w:hAnsi="仿宋_GB2312" w:eastAsia="仿宋_GB2312" w:cs="仿宋_GB2312"/>
        </w:rPr>
        <w:t>（全名、职务）代表供应商</w:t>
      </w:r>
      <w:r>
        <w:rPr>
          <w:rFonts w:ascii="仿宋_GB2312" w:hAnsi="仿宋_GB2312" w:eastAsia="仿宋_GB2312" w:cs="仿宋_GB2312"/>
          <w:u w:val="single"/>
        </w:rPr>
        <w:t xml:space="preserve">          </w:t>
      </w:r>
      <w:r>
        <w:rPr>
          <w:rFonts w:ascii="仿宋_GB2312" w:hAnsi="仿宋_GB2312" w:eastAsia="仿宋_GB2312" w:cs="仿宋_GB2312"/>
        </w:rPr>
        <w:t>（供应商名称、地址）提交响应文件正本</w:t>
      </w:r>
      <w:r>
        <w:rPr>
          <w:rFonts w:ascii="仿宋_GB2312" w:hAnsi="仿宋_GB2312" w:eastAsia="仿宋_GB2312" w:cs="仿宋_GB2312"/>
          <w:u w:val="single"/>
        </w:rPr>
        <w:t xml:space="preserve">    </w:t>
      </w:r>
      <w:r>
        <w:rPr>
          <w:rFonts w:ascii="仿宋_GB2312" w:hAnsi="仿宋_GB2312" w:eastAsia="仿宋_GB2312" w:cs="仿宋_GB2312"/>
        </w:rPr>
        <w:t>份和副本一式</w:t>
      </w:r>
      <w:r>
        <w:rPr>
          <w:rFonts w:ascii="仿宋_GB2312" w:hAnsi="仿宋_GB2312" w:eastAsia="仿宋_GB2312" w:cs="仿宋_GB2312"/>
          <w:u w:val="single"/>
        </w:rPr>
        <w:t xml:space="preserve">    </w:t>
      </w:r>
      <w:r>
        <w:rPr>
          <w:rFonts w:ascii="仿宋_GB2312" w:hAnsi="仿宋_GB2312" w:eastAsia="仿宋_GB2312" w:cs="仿宋_GB2312"/>
        </w:rPr>
        <w:t>份。</w:t>
      </w:r>
    </w:p>
    <w:p w14:paraId="6FB2A6CA">
      <w:pPr>
        <w:pStyle w:val="10"/>
        <w:ind w:firstLine="480"/>
        <w:jc w:val="left"/>
      </w:pPr>
      <w:r>
        <w:rPr>
          <w:rFonts w:ascii="仿宋_GB2312" w:hAnsi="仿宋_GB2312" w:eastAsia="仿宋_GB2312" w:cs="仿宋_GB2312"/>
        </w:rPr>
        <w:t>一、我方同意在本项目询价通知书中规定的递交响应文件截止时间起</w:t>
      </w:r>
      <w:r>
        <w:rPr>
          <w:rFonts w:ascii="仿宋_GB2312" w:hAnsi="仿宋_GB2312" w:eastAsia="仿宋_GB2312" w:cs="仿宋_GB2312"/>
          <w:u w:val="single"/>
        </w:rPr>
        <w:t xml:space="preserve">    </w:t>
      </w:r>
      <w:r>
        <w:rPr>
          <w:rFonts w:ascii="仿宋_GB2312" w:hAnsi="仿宋_GB2312" w:eastAsia="仿宋_GB2312" w:cs="仿宋_GB2312"/>
        </w:rPr>
        <w:t>天内（响应文件有效期）遵守本响应文件中的承诺，且在此期限期满之前均具有约束力。</w:t>
      </w:r>
    </w:p>
    <w:p w14:paraId="4C9F4459">
      <w:pPr>
        <w:pStyle w:val="10"/>
        <w:ind w:firstLine="480"/>
        <w:jc w:val="left"/>
      </w:pPr>
      <w:r>
        <w:rPr>
          <w:rFonts w:ascii="仿宋_GB2312" w:hAnsi="仿宋_GB2312" w:eastAsia="仿宋_GB2312" w:cs="仿宋_GB2312"/>
        </w:rPr>
        <w:t>二、我方已详细审核全部询价通知书，包括询价通知书修改文件（如有的话）、参考资料及有关附件，确认无误。我方承诺接受询价通知书中的全部条款且无任何异议。</w:t>
      </w:r>
    </w:p>
    <w:p w14:paraId="0319A03C">
      <w:pPr>
        <w:pStyle w:val="10"/>
        <w:ind w:firstLine="480"/>
        <w:jc w:val="left"/>
      </w:pPr>
      <w:r>
        <w:rPr>
          <w:rFonts w:ascii="仿宋_GB2312" w:hAnsi="仿宋_GB2312" w:eastAsia="仿宋_GB2312" w:cs="仿宋_GB2312"/>
        </w:rPr>
        <w:t>三、我方承诺我方满足询价通知书中要求的供应商的资格要求的法定条件和特定条件。</w:t>
      </w:r>
    </w:p>
    <w:p w14:paraId="2BD8D386">
      <w:pPr>
        <w:pStyle w:val="10"/>
        <w:ind w:firstLine="480"/>
        <w:jc w:val="left"/>
      </w:pPr>
      <w:r>
        <w:rPr>
          <w:rFonts w:ascii="仿宋_GB2312" w:hAnsi="仿宋_GB2312" w:eastAsia="仿宋_GB2312" w:cs="仿宋_GB2312"/>
        </w:rPr>
        <w:t>四、我方保证响应文件提供的数据和材料是真实、合法的。我方愿意向贵方提供任何与本项目采购有关的数据、情况和技术资料。若贵方需要，我方愿意提供我方作出的一切承诺的证明材料。</w:t>
      </w:r>
    </w:p>
    <w:p w14:paraId="60506C47">
      <w:pPr>
        <w:pStyle w:val="10"/>
        <w:ind w:firstLine="480"/>
        <w:jc w:val="left"/>
      </w:pPr>
      <w:r>
        <w:rPr>
          <w:rFonts w:ascii="仿宋_GB2312" w:hAnsi="仿宋_GB2312" w:eastAsia="仿宋_GB2312" w:cs="仿宋_GB2312"/>
        </w:rPr>
        <w:t>五、我方承诺遵守《政府采购法》的有关规定，按照询价通知书确定的事项签订政府采购合同，并承担合同规定的责任和义务。</w:t>
      </w:r>
    </w:p>
    <w:p w14:paraId="0B16CD4A">
      <w:pPr>
        <w:pStyle w:val="10"/>
        <w:ind w:firstLine="480"/>
        <w:jc w:val="left"/>
      </w:pPr>
      <w:r>
        <w:rPr>
          <w:rFonts w:ascii="仿宋_GB2312" w:hAnsi="仿宋_GB2312" w:eastAsia="仿宋_GB2312" w:cs="仿宋_GB2312"/>
        </w:rPr>
        <w:t>六、询价保证金：我方承诺，若出现询价通知书规定的不予退还情形，同意贵单位不予退还。询价保证金或保函有效期与响应文件有效期保持一致。</w:t>
      </w:r>
    </w:p>
    <w:p w14:paraId="2EF78876">
      <w:pPr>
        <w:pStyle w:val="10"/>
        <w:ind w:firstLine="480"/>
        <w:jc w:val="left"/>
      </w:pPr>
      <w:r>
        <w:rPr>
          <w:rFonts w:ascii="仿宋_GB2312" w:hAnsi="仿宋_GB2312" w:eastAsia="仿宋_GB2312" w:cs="仿宋_GB2312"/>
        </w:rPr>
        <w:t>七、我方承诺遵守《中华人民共和国劳动合同法》有关规定和《中华人民共和国妇女权益保障法 》中关于“劳动和社会保障权益”的有关要求。</w:t>
      </w:r>
    </w:p>
    <w:p w14:paraId="05AB48F1">
      <w:pPr>
        <w:pStyle w:val="10"/>
        <w:ind w:firstLine="480"/>
        <w:jc w:val="left"/>
      </w:pPr>
      <w:r>
        <w:rPr>
          <w:rFonts w:ascii="仿宋_GB2312" w:hAnsi="仿宋_GB2312" w:eastAsia="仿宋_GB2312" w:cs="仿宋_GB2312"/>
        </w:rPr>
        <w:t>八、我方承诺响应文件所提供的全部资料真实可靠，并接受询价小组、采购人、采购代理机构、监管部门进一步审查其中任何资料真实性的要求。</w:t>
      </w:r>
    </w:p>
    <w:p w14:paraId="7A7D1E67">
      <w:pPr>
        <w:pStyle w:val="10"/>
        <w:ind w:firstLine="480"/>
        <w:jc w:val="left"/>
      </w:pPr>
      <w:r>
        <w:rPr>
          <w:rFonts w:ascii="仿宋_GB2312" w:hAnsi="仿宋_GB2312" w:eastAsia="仿宋_GB2312" w:cs="仿宋_GB2312"/>
        </w:rPr>
        <w:t>九、除询价通知书另有规定外，对于贵单位按照下述联络方式发出的任何信息或通知，均视为我方已收悉前述信息或通知的全部内容：</w:t>
      </w:r>
    </w:p>
    <w:p w14:paraId="3117BED5">
      <w:pPr>
        <w:pStyle w:val="10"/>
        <w:ind w:firstLine="480"/>
        <w:jc w:val="left"/>
      </w:pPr>
      <w:r>
        <w:rPr>
          <w:rFonts w:ascii="仿宋_GB2312" w:hAnsi="仿宋_GB2312" w:eastAsia="仿宋_GB2312" w:cs="仿宋_GB2312"/>
        </w:rPr>
        <w:t>通信地址：</w:t>
      </w:r>
      <w:r>
        <w:rPr>
          <w:rFonts w:ascii="仿宋_GB2312" w:hAnsi="仿宋_GB2312" w:eastAsia="仿宋_GB2312" w:cs="仿宋_GB2312"/>
          <w:u w:val="single"/>
        </w:rPr>
        <w:t xml:space="preserve">       </w:t>
      </w:r>
    </w:p>
    <w:p w14:paraId="6A0D8784">
      <w:pPr>
        <w:pStyle w:val="10"/>
        <w:ind w:firstLine="480"/>
        <w:jc w:val="left"/>
      </w:pPr>
      <w:r>
        <w:rPr>
          <w:rFonts w:ascii="仿宋_GB2312" w:hAnsi="仿宋_GB2312" w:eastAsia="仿宋_GB2312" w:cs="仿宋_GB2312"/>
        </w:rPr>
        <w:t>邮编：</w:t>
      </w:r>
      <w:r>
        <w:rPr>
          <w:rFonts w:ascii="仿宋_GB2312" w:hAnsi="仿宋_GB2312" w:eastAsia="仿宋_GB2312" w:cs="仿宋_GB2312"/>
          <w:u w:val="single"/>
        </w:rPr>
        <w:t xml:space="preserve">       </w:t>
      </w:r>
    </w:p>
    <w:p w14:paraId="581D43BD">
      <w:pPr>
        <w:pStyle w:val="10"/>
        <w:ind w:firstLine="480"/>
        <w:jc w:val="left"/>
      </w:pPr>
      <w:r>
        <w:rPr>
          <w:rFonts w:ascii="仿宋_GB2312" w:hAnsi="仿宋_GB2312" w:eastAsia="仿宋_GB2312" w:cs="仿宋_GB2312"/>
        </w:rPr>
        <w:t>联系方式：</w:t>
      </w:r>
      <w:r>
        <w:rPr>
          <w:rFonts w:ascii="仿宋_GB2312" w:hAnsi="仿宋_GB2312" w:eastAsia="仿宋_GB2312" w:cs="仿宋_GB2312"/>
          <w:u w:val="single"/>
        </w:rPr>
        <w:t>（包括但不限于：联系人、联系电话、手机、传真、电子邮箱等）</w:t>
      </w:r>
      <w:r>
        <w:br w:type="textWrapping"/>
      </w:r>
      <w:r>
        <w:br w:type="textWrapping"/>
      </w:r>
      <w:r>
        <w:br w:type="textWrapping"/>
      </w:r>
    </w:p>
    <w:p w14:paraId="4A33BF8C">
      <w:pPr>
        <w:pStyle w:val="10"/>
        <w:ind w:firstLine="480"/>
        <w:jc w:val="left"/>
      </w:pPr>
      <w:r>
        <w:rPr>
          <w:rFonts w:ascii="仿宋_GB2312" w:hAnsi="仿宋_GB2312" w:eastAsia="仿宋_GB2312" w:cs="仿宋_GB2312"/>
        </w:rPr>
        <w:t>供应商名称（盖公章）：</w:t>
      </w:r>
      <w:r>
        <w:rPr>
          <w:rFonts w:ascii="仿宋_GB2312" w:hAnsi="仿宋_GB2312" w:eastAsia="仿宋_GB2312" w:cs="仿宋_GB2312"/>
          <w:u w:val="single"/>
        </w:rPr>
        <w:t xml:space="preserve">       </w:t>
      </w:r>
    </w:p>
    <w:p w14:paraId="2A3F2828">
      <w:pPr>
        <w:pStyle w:val="10"/>
        <w:ind w:firstLine="480"/>
        <w:jc w:val="left"/>
      </w:pPr>
      <w:r>
        <w:rPr>
          <w:rFonts w:ascii="仿宋_GB2312" w:hAnsi="仿宋_GB2312" w:eastAsia="仿宋_GB2312" w:cs="仿宋_GB2312"/>
        </w:rPr>
        <w:t>法定代表人或授权代表（签字或盖章）：</w:t>
      </w:r>
      <w:r>
        <w:rPr>
          <w:rFonts w:ascii="仿宋_GB2312" w:hAnsi="仿宋_GB2312" w:eastAsia="仿宋_GB2312" w:cs="仿宋_GB2312"/>
          <w:u w:val="single"/>
        </w:rPr>
        <w:t xml:space="preserve">       </w:t>
      </w:r>
    </w:p>
    <w:p w14:paraId="05E44CCB">
      <w:pPr>
        <w:pStyle w:val="10"/>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p>
    <w:p w14:paraId="7906187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41E7DF">
      <w:pPr>
        <w:pStyle w:val="10"/>
        <w:jc w:val="left"/>
        <w:outlineLvl w:val="0"/>
      </w:pPr>
      <w:r>
        <w:rPr>
          <w:rFonts w:ascii="仿宋_GB2312" w:hAnsi="仿宋_GB2312" w:eastAsia="仿宋_GB2312" w:cs="仿宋_GB2312"/>
          <w:b/>
          <w:sz w:val="48"/>
        </w:rPr>
        <w:t>开标（报价）一览表</w:t>
      </w:r>
    </w:p>
    <w:p w14:paraId="0C897084">
      <w:pPr>
        <w:pStyle w:val="10"/>
        <w:ind w:right="1650"/>
        <w:jc w:val="left"/>
      </w:pPr>
      <w:r>
        <w:rPr>
          <w:rFonts w:ascii="仿宋_GB2312" w:hAnsi="仿宋_GB2312" w:eastAsia="仿宋_GB2312" w:cs="仿宋_GB2312"/>
        </w:rPr>
        <w:t>项目编号：[350190]GD[XJ]2024001</w:t>
      </w:r>
    </w:p>
    <w:p w14:paraId="7B934FCE">
      <w:pPr>
        <w:pStyle w:val="10"/>
        <w:spacing w:line="375" w:lineRule="exact"/>
        <w:jc w:val="left"/>
      </w:pPr>
      <w:r>
        <w:rPr>
          <w:rFonts w:ascii="仿宋_GB2312" w:hAnsi="仿宋_GB2312" w:eastAsia="仿宋_GB2312" w:cs="仿宋_GB2312"/>
        </w:rPr>
        <w:t>项目名称：滨湖小学其他图书</w:t>
      </w:r>
    </w:p>
    <w:p w14:paraId="31BD3BBC">
      <w:pPr>
        <w:pStyle w:val="10"/>
        <w:spacing w:line="375" w:lineRule="exact"/>
        <w:jc w:val="left"/>
      </w:pPr>
      <w:r>
        <w:rPr>
          <w:rFonts w:ascii="仿宋_GB2312" w:hAnsi="仿宋_GB2312" w:eastAsia="仿宋_GB2312" w:cs="仿宋_GB2312"/>
        </w:rPr>
        <w:t>采购包：1(滨湖小学其他图书采购)</w:t>
      </w:r>
    </w:p>
    <w:p w14:paraId="593382C8">
      <w:pPr>
        <w:pStyle w:val="10"/>
        <w:spacing w:line="375" w:lineRule="exact"/>
        <w:jc w:val="left"/>
      </w:pPr>
      <w:r>
        <w:rPr>
          <w:rFonts w:ascii="仿宋_GB2312" w:hAnsi="仿宋_GB2312" w:eastAsia="仿宋_GB2312" w:cs="仿宋_GB2312"/>
        </w:rPr>
        <w:t>投标人（供应商）名称：</w:t>
      </w:r>
    </w:p>
    <w:p w14:paraId="49A62951">
      <w:pPr>
        <w:pStyle w:val="10"/>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C1A7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29478D">
            <w:pPr>
              <w:pStyle w:val="10"/>
              <w:jc w:val="left"/>
            </w:pPr>
            <w:r>
              <w:rPr>
                <w:rFonts w:ascii="仿宋_GB2312" w:hAnsi="仿宋_GB2312" w:eastAsia="仿宋_GB2312" w:cs="仿宋_GB2312"/>
              </w:rPr>
              <w:t xml:space="preserve"> 序号</w:t>
            </w:r>
          </w:p>
        </w:tc>
        <w:tc>
          <w:tcPr>
            <w:tcW w:w="1661" w:type="dxa"/>
          </w:tcPr>
          <w:p w14:paraId="56AA4CA4">
            <w:pPr>
              <w:pStyle w:val="10"/>
              <w:jc w:val="left"/>
            </w:pPr>
            <w:r>
              <w:rPr>
                <w:rFonts w:ascii="仿宋_GB2312" w:hAnsi="仿宋_GB2312" w:eastAsia="仿宋_GB2312" w:cs="仿宋_GB2312"/>
              </w:rPr>
              <w:t xml:space="preserve"> 报价内容</w:t>
            </w:r>
          </w:p>
        </w:tc>
        <w:tc>
          <w:tcPr>
            <w:tcW w:w="1661" w:type="dxa"/>
          </w:tcPr>
          <w:p w14:paraId="22D8C175">
            <w:pPr>
              <w:pStyle w:val="10"/>
              <w:jc w:val="left"/>
            </w:pPr>
            <w:r>
              <w:rPr>
                <w:rFonts w:ascii="仿宋_GB2312" w:hAnsi="仿宋_GB2312" w:eastAsia="仿宋_GB2312" w:cs="仿宋_GB2312"/>
              </w:rPr>
              <w:t xml:space="preserve"> 最高限价</w:t>
            </w:r>
          </w:p>
        </w:tc>
        <w:tc>
          <w:tcPr>
            <w:tcW w:w="1661" w:type="dxa"/>
          </w:tcPr>
          <w:p w14:paraId="3B4313F1">
            <w:pPr>
              <w:pStyle w:val="10"/>
              <w:jc w:val="left"/>
            </w:pPr>
            <w:r>
              <w:rPr>
                <w:rFonts w:ascii="仿宋_GB2312" w:hAnsi="仿宋_GB2312" w:eastAsia="仿宋_GB2312" w:cs="仿宋_GB2312"/>
              </w:rPr>
              <w:t xml:space="preserve"> 响应报价</w:t>
            </w:r>
          </w:p>
        </w:tc>
        <w:tc>
          <w:tcPr>
            <w:tcW w:w="1661" w:type="dxa"/>
          </w:tcPr>
          <w:p w14:paraId="46852645">
            <w:pPr>
              <w:pStyle w:val="10"/>
              <w:jc w:val="left"/>
            </w:pPr>
            <w:r>
              <w:rPr>
                <w:rFonts w:ascii="仿宋_GB2312" w:hAnsi="仿宋_GB2312" w:eastAsia="仿宋_GB2312" w:cs="仿宋_GB2312"/>
              </w:rPr>
              <w:t xml:space="preserve"> 价款形式</w:t>
            </w:r>
          </w:p>
        </w:tc>
      </w:tr>
      <w:tr w14:paraId="3DA6F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294D77">
            <w:pPr>
              <w:pStyle w:val="10"/>
              <w:jc w:val="left"/>
            </w:pPr>
            <w:r>
              <w:rPr>
                <w:rFonts w:ascii="仿宋_GB2312" w:hAnsi="仿宋_GB2312" w:eastAsia="仿宋_GB2312" w:cs="仿宋_GB2312"/>
              </w:rPr>
              <w:t xml:space="preserve"> 1</w:t>
            </w:r>
          </w:p>
        </w:tc>
        <w:tc>
          <w:tcPr>
            <w:tcW w:w="1661" w:type="dxa"/>
          </w:tcPr>
          <w:p w14:paraId="5802601F">
            <w:pPr>
              <w:pStyle w:val="10"/>
              <w:jc w:val="left"/>
            </w:pPr>
            <w:r>
              <w:rPr>
                <w:rFonts w:ascii="仿宋_GB2312" w:hAnsi="仿宋_GB2312" w:eastAsia="仿宋_GB2312" w:cs="仿宋_GB2312"/>
              </w:rPr>
              <w:t xml:space="preserve"> 滨湖小学其他图书采购</w:t>
            </w:r>
          </w:p>
        </w:tc>
        <w:tc>
          <w:tcPr>
            <w:tcW w:w="1661" w:type="dxa"/>
          </w:tcPr>
          <w:p w14:paraId="28AE5260">
            <w:pPr>
              <w:pStyle w:val="10"/>
              <w:jc w:val="left"/>
            </w:pPr>
            <w:r>
              <w:rPr>
                <w:rFonts w:ascii="仿宋_GB2312" w:hAnsi="仿宋_GB2312" w:eastAsia="仿宋_GB2312" w:cs="仿宋_GB2312"/>
              </w:rPr>
              <w:t xml:space="preserve"> 885000  元</w:t>
            </w:r>
          </w:p>
        </w:tc>
        <w:tc>
          <w:tcPr>
            <w:tcW w:w="1661" w:type="dxa"/>
          </w:tcPr>
          <w:p w14:paraId="27432D95">
            <w:pPr>
              <w:pStyle w:val="10"/>
              <w:jc w:val="left"/>
            </w:pPr>
            <w:r>
              <w:rPr>
                <w:rFonts w:ascii="仿宋_GB2312" w:hAnsi="仿宋_GB2312" w:eastAsia="仿宋_GB2312" w:cs="仿宋_GB2312"/>
              </w:rPr>
              <w:t xml:space="preserve"> 「汇总引用」  元</w:t>
            </w:r>
          </w:p>
        </w:tc>
        <w:tc>
          <w:tcPr>
            <w:tcW w:w="1661" w:type="dxa"/>
          </w:tcPr>
          <w:p w14:paraId="51CA60AC">
            <w:pPr>
              <w:pStyle w:val="10"/>
              <w:jc w:val="left"/>
            </w:pPr>
            <w:r>
              <w:rPr>
                <w:rFonts w:ascii="仿宋_GB2312" w:hAnsi="仿宋_GB2312" w:eastAsia="仿宋_GB2312" w:cs="仿宋_GB2312"/>
              </w:rPr>
              <w:t xml:space="preserve"> 总价</w:t>
            </w:r>
          </w:p>
        </w:tc>
      </w:tr>
    </w:tbl>
    <w:p w14:paraId="1C104BE6">
      <w:pPr>
        <w:pStyle w:val="10"/>
        <w:jc w:val="left"/>
      </w:pPr>
      <w:r>
        <w:rPr>
          <w:rFonts w:ascii="仿宋_GB2312" w:hAnsi="仿宋_GB2312" w:eastAsia="仿宋_GB2312" w:cs="仿宋_GB2312"/>
        </w:rPr>
        <w:t>备注：无</w:t>
      </w:r>
    </w:p>
    <w:p w14:paraId="2947CEED">
      <w:pPr>
        <w:pStyle w:val="10"/>
        <w:jc w:val="left"/>
      </w:pPr>
      <w:r>
        <w:rPr>
          <w:rFonts w:ascii="仿宋_GB2312" w:hAnsi="仿宋_GB2312" w:eastAsia="仿宋_GB2312" w:cs="仿宋_GB2312"/>
        </w:rPr>
        <w:t>时间：     年     月     日</w:t>
      </w:r>
    </w:p>
    <w:p w14:paraId="6AA2AB1F">
      <w:pPr>
        <w:pStyle w:val="10"/>
        <w:jc w:val="left"/>
      </w:pPr>
      <w:r>
        <w:rPr>
          <w:rFonts w:ascii="仿宋_GB2312" w:hAnsi="仿宋_GB2312" w:eastAsia="仿宋_GB2312" w:cs="仿宋_GB2312"/>
        </w:rPr>
        <w:t xml:space="preserve">签章：                     </w:t>
      </w:r>
    </w:p>
    <w:p w14:paraId="4D177525">
      <w:pPr>
        <w:pStyle w:val="10"/>
        <w:jc w:val="left"/>
        <w:outlineLvl w:val="0"/>
      </w:pPr>
      <w:r>
        <w:rPr>
          <w:rFonts w:ascii="仿宋_GB2312" w:hAnsi="仿宋_GB2312" w:eastAsia="仿宋_GB2312" w:cs="仿宋_GB2312"/>
          <w:b/>
          <w:sz w:val="48"/>
        </w:rPr>
        <w:t>投标（响应）报价明细表</w:t>
      </w:r>
    </w:p>
    <w:p w14:paraId="5205525F">
      <w:pPr>
        <w:pStyle w:val="10"/>
        <w:jc w:val="left"/>
      </w:pPr>
      <w:r>
        <w:rPr>
          <w:rFonts w:ascii="仿宋_GB2312" w:hAnsi="仿宋_GB2312" w:eastAsia="仿宋_GB2312" w:cs="仿宋_GB2312"/>
        </w:rPr>
        <w:t>项目编号：[350190]GD[XJ]2024001</w:t>
      </w:r>
    </w:p>
    <w:p w14:paraId="7D97FB94">
      <w:pPr>
        <w:pStyle w:val="10"/>
        <w:jc w:val="left"/>
      </w:pPr>
      <w:r>
        <w:rPr>
          <w:rFonts w:ascii="仿宋_GB2312" w:hAnsi="仿宋_GB2312" w:eastAsia="仿宋_GB2312" w:cs="仿宋_GB2312"/>
        </w:rPr>
        <w:t>项目名称：滨湖小学其他图书</w:t>
      </w:r>
    </w:p>
    <w:p w14:paraId="19E53E82">
      <w:pPr>
        <w:pStyle w:val="10"/>
        <w:jc w:val="left"/>
      </w:pPr>
      <w:r>
        <w:rPr>
          <w:rFonts w:ascii="仿宋_GB2312" w:hAnsi="仿宋_GB2312" w:eastAsia="仿宋_GB2312" w:cs="仿宋_GB2312"/>
        </w:rPr>
        <w:t>采购包：滨湖小学其他图书采购</w:t>
      </w:r>
    </w:p>
    <w:p w14:paraId="0D3D97FE">
      <w:pPr>
        <w:pStyle w:val="10"/>
        <w:jc w:val="left"/>
      </w:pPr>
      <w:r>
        <w:rPr>
          <w:rFonts w:ascii="仿宋_GB2312" w:hAnsi="仿宋_GB2312" w:eastAsia="仿宋_GB2312" w:cs="仿宋_GB2312"/>
        </w:rPr>
        <w:t>投标人名称：</w:t>
      </w:r>
    </w:p>
    <w:p w14:paraId="6F41201F">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邵武第一中学新校区教学保障类设备采购项目</w:t>
      </w:r>
    </w:p>
    <w:p w14:paraId="66CD0C53">
      <w:pPr>
        <w:pStyle w:val="10"/>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816"/>
        <w:gridCol w:w="639"/>
        <w:gridCol w:w="816"/>
        <w:gridCol w:w="639"/>
        <w:gridCol w:w="639"/>
        <w:gridCol w:w="639"/>
        <w:gridCol w:w="639"/>
      </w:tblGrid>
      <w:tr w14:paraId="48E97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B474F1">
            <w:pPr>
              <w:pStyle w:val="10"/>
              <w:jc w:val="left"/>
            </w:pPr>
            <w:r>
              <w:rPr>
                <w:rFonts w:ascii="仿宋_GB2312" w:hAnsi="仿宋_GB2312" w:eastAsia="仿宋_GB2312" w:cs="仿宋_GB2312"/>
              </w:rPr>
              <w:t xml:space="preserve"> 序号</w:t>
            </w:r>
          </w:p>
        </w:tc>
        <w:tc>
          <w:tcPr>
            <w:tcW w:w="639" w:type="dxa"/>
          </w:tcPr>
          <w:p w14:paraId="229DD37D">
            <w:pPr>
              <w:pStyle w:val="10"/>
              <w:jc w:val="left"/>
            </w:pPr>
            <w:r>
              <w:rPr>
                <w:rFonts w:ascii="仿宋_GB2312" w:hAnsi="仿宋_GB2312" w:eastAsia="仿宋_GB2312" w:cs="仿宋_GB2312"/>
              </w:rPr>
              <w:t xml:space="preserve"> 货物名称</w:t>
            </w:r>
          </w:p>
        </w:tc>
        <w:tc>
          <w:tcPr>
            <w:tcW w:w="639" w:type="dxa"/>
          </w:tcPr>
          <w:p w14:paraId="3EAE5CDC">
            <w:pPr>
              <w:pStyle w:val="10"/>
              <w:jc w:val="left"/>
            </w:pPr>
            <w:r>
              <w:rPr>
                <w:rFonts w:ascii="仿宋_GB2312" w:hAnsi="仿宋_GB2312" w:eastAsia="仿宋_GB2312" w:cs="仿宋_GB2312"/>
              </w:rPr>
              <w:t xml:space="preserve"> 规格型号</w:t>
            </w:r>
          </w:p>
        </w:tc>
        <w:tc>
          <w:tcPr>
            <w:tcW w:w="639" w:type="dxa"/>
          </w:tcPr>
          <w:p w14:paraId="51E811A0">
            <w:pPr>
              <w:pStyle w:val="10"/>
              <w:jc w:val="left"/>
            </w:pPr>
            <w:r>
              <w:rPr>
                <w:rFonts w:ascii="仿宋_GB2312" w:hAnsi="仿宋_GB2312" w:eastAsia="仿宋_GB2312" w:cs="仿宋_GB2312"/>
              </w:rPr>
              <w:t xml:space="preserve"> 品牌</w:t>
            </w:r>
          </w:p>
        </w:tc>
        <w:tc>
          <w:tcPr>
            <w:tcW w:w="639" w:type="dxa"/>
          </w:tcPr>
          <w:p w14:paraId="3B4186A4">
            <w:pPr>
              <w:pStyle w:val="10"/>
              <w:jc w:val="left"/>
            </w:pPr>
            <w:r>
              <w:rPr>
                <w:rFonts w:ascii="仿宋_GB2312" w:hAnsi="仿宋_GB2312" w:eastAsia="仿宋_GB2312" w:cs="仿宋_GB2312"/>
              </w:rPr>
              <w:t xml:space="preserve"> 制造商名称</w:t>
            </w:r>
          </w:p>
        </w:tc>
        <w:tc>
          <w:tcPr>
            <w:tcW w:w="639" w:type="dxa"/>
          </w:tcPr>
          <w:p w14:paraId="2AE8CC49">
            <w:pPr>
              <w:pStyle w:val="10"/>
              <w:jc w:val="left"/>
            </w:pPr>
            <w:r>
              <w:rPr>
                <w:rFonts w:ascii="仿宋_GB2312" w:hAnsi="仿宋_GB2312" w:eastAsia="仿宋_GB2312" w:cs="仿宋_GB2312"/>
              </w:rPr>
              <w:t xml:space="preserve"> 产地</w:t>
            </w:r>
          </w:p>
        </w:tc>
        <w:tc>
          <w:tcPr>
            <w:tcW w:w="639" w:type="dxa"/>
          </w:tcPr>
          <w:p w14:paraId="753DE7BD">
            <w:pPr>
              <w:pStyle w:val="10"/>
              <w:jc w:val="left"/>
            </w:pPr>
            <w:r>
              <w:rPr>
                <w:rFonts w:ascii="仿宋_GB2312" w:hAnsi="仿宋_GB2312" w:eastAsia="仿宋_GB2312" w:cs="仿宋_GB2312"/>
              </w:rPr>
              <w:t xml:space="preserve"> 最高限价</w:t>
            </w:r>
          </w:p>
        </w:tc>
        <w:tc>
          <w:tcPr>
            <w:tcW w:w="639" w:type="dxa"/>
          </w:tcPr>
          <w:p w14:paraId="3E22B726">
            <w:pPr>
              <w:pStyle w:val="10"/>
              <w:jc w:val="left"/>
            </w:pPr>
            <w:r>
              <w:rPr>
                <w:rFonts w:ascii="仿宋_GB2312" w:hAnsi="仿宋_GB2312" w:eastAsia="仿宋_GB2312" w:cs="仿宋_GB2312"/>
              </w:rPr>
              <w:t xml:space="preserve"> 计量单位</w:t>
            </w:r>
          </w:p>
        </w:tc>
        <w:tc>
          <w:tcPr>
            <w:tcW w:w="639" w:type="dxa"/>
          </w:tcPr>
          <w:p w14:paraId="55464DCB">
            <w:pPr>
              <w:pStyle w:val="10"/>
              <w:jc w:val="left"/>
            </w:pPr>
            <w:r>
              <w:rPr>
                <w:rFonts w:ascii="仿宋_GB2312" w:hAnsi="仿宋_GB2312" w:eastAsia="仿宋_GB2312" w:cs="仿宋_GB2312"/>
              </w:rPr>
              <w:t xml:space="preserve"> 数量</w:t>
            </w:r>
          </w:p>
        </w:tc>
        <w:tc>
          <w:tcPr>
            <w:tcW w:w="639" w:type="dxa"/>
          </w:tcPr>
          <w:p w14:paraId="7F5C17E8">
            <w:pPr>
              <w:pStyle w:val="10"/>
              <w:jc w:val="left"/>
            </w:pPr>
            <w:r>
              <w:rPr>
                <w:rFonts w:ascii="仿宋_GB2312" w:hAnsi="仿宋_GB2312" w:eastAsia="仿宋_GB2312" w:cs="仿宋_GB2312"/>
              </w:rPr>
              <w:t xml:space="preserve"> 单价</w:t>
            </w:r>
          </w:p>
        </w:tc>
        <w:tc>
          <w:tcPr>
            <w:tcW w:w="639" w:type="dxa"/>
          </w:tcPr>
          <w:p w14:paraId="31E8D289">
            <w:pPr>
              <w:pStyle w:val="10"/>
              <w:jc w:val="left"/>
            </w:pPr>
            <w:r>
              <w:rPr>
                <w:rFonts w:ascii="仿宋_GB2312" w:hAnsi="仿宋_GB2312" w:eastAsia="仿宋_GB2312" w:cs="仿宋_GB2312"/>
              </w:rPr>
              <w:t xml:space="preserve"> 总价</w:t>
            </w:r>
          </w:p>
        </w:tc>
        <w:tc>
          <w:tcPr>
            <w:tcW w:w="639" w:type="dxa"/>
          </w:tcPr>
          <w:p w14:paraId="05A52E38">
            <w:pPr>
              <w:pStyle w:val="10"/>
              <w:jc w:val="left"/>
            </w:pPr>
            <w:r>
              <w:rPr>
                <w:rFonts w:ascii="仿宋_GB2312" w:hAnsi="仿宋_GB2312" w:eastAsia="仿宋_GB2312" w:cs="仿宋_GB2312"/>
              </w:rPr>
              <w:t xml:space="preserve"> 是否环境标志产品</w:t>
            </w:r>
          </w:p>
        </w:tc>
        <w:tc>
          <w:tcPr>
            <w:tcW w:w="639" w:type="dxa"/>
          </w:tcPr>
          <w:p w14:paraId="3080E70E">
            <w:pPr>
              <w:pStyle w:val="10"/>
              <w:jc w:val="left"/>
            </w:pPr>
            <w:r>
              <w:rPr>
                <w:rFonts w:ascii="仿宋_GB2312" w:hAnsi="仿宋_GB2312" w:eastAsia="仿宋_GB2312" w:cs="仿宋_GB2312"/>
              </w:rPr>
              <w:t xml:space="preserve"> 是否节能产品</w:t>
            </w:r>
          </w:p>
        </w:tc>
      </w:tr>
      <w:tr w14:paraId="1D2D1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CCF1CA2">
            <w:pPr>
              <w:pStyle w:val="10"/>
              <w:jc w:val="left"/>
            </w:pPr>
            <w:r>
              <w:rPr>
                <w:rFonts w:ascii="仿宋_GB2312" w:hAnsi="仿宋_GB2312" w:eastAsia="仿宋_GB2312" w:cs="仿宋_GB2312"/>
              </w:rPr>
              <w:t xml:space="preserve"> 1</w:t>
            </w:r>
          </w:p>
        </w:tc>
        <w:tc>
          <w:tcPr>
            <w:tcW w:w="639" w:type="dxa"/>
          </w:tcPr>
          <w:p w14:paraId="4B21327A">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邵武第一中学新校区教学保障类设备采购项目</w:t>
            </w:r>
          </w:p>
        </w:tc>
        <w:tc>
          <w:tcPr>
            <w:tcW w:w="639" w:type="dxa"/>
          </w:tcPr>
          <w:p w14:paraId="4D22F867">
            <w:pPr>
              <w:pStyle w:val="10"/>
              <w:jc w:val="left"/>
            </w:pPr>
            <w:r>
              <w:rPr>
                <w:rFonts w:ascii="仿宋_GB2312" w:hAnsi="仿宋_GB2312" w:eastAsia="仿宋_GB2312" w:cs="仿宋_GB2312"/>
              </w:rPr>
              <w:t xml:space="preserve"> {供应商响应}</w:t>
            </w:r>
          </w:p>
        </w:tc>
        <w:tc>
          <w:tcPr>
            <w:tcW w:w="639" w:type="dxa"/>
          </w:tcPr>
          <w:p w14:paraId="1FD4C7BD">
            <w:pPr>
              <w:pStyle w:val="10"/>
              <w:jc w:val="left"/>
            </w:pPr>
            <w:r>
              <w:rPr>
                <w:rFonts w:ascii="仿宋_GB2312" w:hAnsi="仿宋_GB2312" w:eastAsia="仿宋_GB2312" w:cs="仿宋_GB2312"/>
              </w:rPr>
              <w:t xml:space="preserve"> {供应商响应}</w:t>
            </w:r>
          </w:p>
        </w:tc>
        <w:tc>
          <w:tcPr>
            <w:tcW w:w="639" w:type="dxa"/>
          </w:tcPr>
          <w:p w14:paraId="32AFC973">
            <w:pPr>
              <w:pStyle w:val="10"/>
              <w:jc w:val="left"/>
            </w:pPr>
            <w:r>
              <w:rPr>
                <w:rFonts w:ascii="仿宋_GB2312" w:hAnsi="仿宋_GB2312" w:eastAsia="仿宋_GB2312" w:cs="仿宋_GB2312"/>
              </w:rPr>
              <w:t xml:space="preserve"> {供应商响应}</w:t>
            </w:r>
          </w:p>
        </w:tc>
        <w:tc>
          <w:tcPr>
            <w:tcW w:w="639" w:type="dxa"/>
          </w:tcPr>
          <w:p w14:paraId="7873CC4B">
            <w:pPr>
              <w:pStyle w:val="10"/>
              <w:jc w:val="left"/>
            </w:pPr>
            <w:r>
              <w:rPr>
                <w:rFonts w:ascii="仿宋_GB2312" w:hAnsi="仿宋_GB2312" w:eastAsia="仿宋_GB2312" w:cs="仿宋_GB2312"/>
              </w:rPr>
              <w:t xml:space="preserve"> {供应商响应}</w:t>
            </w:r>
          </w:p>
        </w:tc>
        <w:tc>
          <w:tcPr>
            <w:tcW w:w="639" w:type="dxa"/>
          </w:tcPr>
          <w:p w14:paraId="0BE9558E">
            <w:pPr>
              <w:pStyle w:val="10"/>
              <w:jc w:val="left"/>
            </w:pPr>
            <w:r>
              <w:rPr>
                <w:rFonts w:ascii="仿宋_GB2312" w:hAnsi="仿宋_GB2312" w:eastAsia="仿宋_GB2312" w:cs="仿宋_GB2312"/>
              </w:rPr>
              <w:t xml:space="preserve"> 885000  元</w:t>
            </w:r>
          </w:p>
        </w:tc>
        <w:tc>
          <w:tcPr>
            <w:tcW w:w="639" w:type="dxa"/>
          </w:tcPr>
          <w:p w14:paraId="570B2DDB">
            <w:pPr>
              <w:pStyle w:val="10"/>
              <w:jc w:val="left"/>
            </w:pPr>
            <w:r>
              <w:rPr>
                <w:rFonts w:ascii="仿宋_GB2312" w:hAnsi="仿宋_GB2312" w:eastAsia="仿宋_GB2312" w:cs="仿宋_GB2312"/>
              </w:rPr>
              <w:t xml:space="preserve"> 批</w:t>
            </w:r>
          </w:p>
        </w:tc>
        <w:tc>
          <w:tcPr>
            <w:tcW w:w="639" w:type="dxa"/>
          </w:tcPr>
          <w:p w14:paraId="2C23540A">
            <w:pPr>
              <w:pStyle w:val="10"/>
              <w:jc w:val="left"/>
            </w:pPr>
            <w:r>
              <w:rPr>
                <w:rFonts w:ascii="仿宋_GB2312" w:hAnsi="仿宋_GB2312" w:eastAsia="仿宋_GB2312" w:cs="仿宋_GB2312"/>
              </w:rPr>
              <w:t xml:space="preserve"> 1.0000</w:t>
            </w:r>
          </w:p>
        </w:tc>
        <w:tc>
          <w:tcPr>
            <w:tcW w:w="639" w:type="dxa"/>
          </w:tcPr>
          <w:p w14:paraId="541BBCAD">
            <w:pPr>
              <w:pStyle w:val="10"/>
              <w:jc w:val="left"/>
            </w:pPr>
            <w:r>
              <w:rPr>
                <w:rFonts w:ascii="仿宋_GB2312" w:hAnsi="仿宋_GB2312" w:eastAsia="仿宋_GB2312" w:cs="仿宋_GB2312"/>
              </w:rPr>
              <w:t xml:space="preserve"> {=总价/数量}  元</w:t>
            </w:r>
          </w:p>
        </w:tc>
        <w:tc>
          <w:tcPr>
            <w:tcW w:w="639" w:type="dxa"/>
          </w:tcPr>
          <w:p w14:paraId="3C72AF7A">
            <w:pPr>
              <w:pStyle w:val="10"/>
              <w:jc w:val="left"/>
            </w:pPr>
            <w:r>
              <w:rPr>
                <w:rFonts w:ascii="仿宋_GB2312" w:hAnsi="仿宋_GB2312" w:eastAsia="仿宋_GB2312" w:cs="仿宋_GB2312"/>
              </w:rPr>
              <w:t xml:space="preserve"> {供应商响应}  元</w:t>
            </w:r>
          </w:p>
        </w:tc>
        <w:tc>
          <w:tcPr>
            <w:tcW w:w="639" w:type="dxa"/>
          </w:tcPr>
          <w:p w14:paraId="3E6ECBC3">
            <w:pPr>
              <w:pStyle w:val="10"/>
              <w:jc w:val="left"/>
            </w:pPr>
            <w:r>
              <w:rPr>
                <w:rFonts w:ascii="仿宋_GB2312" w:hAnsi="仿宋_GB2312" w:eastAsia="仿宋_GB2312" w:cs="仿宋_GB2312"/>
              </w:rPr>
              <w:t xml:space="preserve"> {供应商响应}</w:t>
            </w:r>
          </w:p>
        </w:tc>
        <w:tc>
          <w:tcPr>
            <w:tcW w:w="639" w:type="dxa"/>
          </w:tcPr>
          <w:p w14:paraId="2942FE86">
            <w:pPr>
              <w:pStyle w:val="10"/>
              <w:jc w:val="left"/>
            </w:pPr>
            <w:r>
              <w:rPr>
                <w:rFonts w:ascii="仿宋_GB2312" w:hAnsi="仿宋_GB2312" w:eastAsia="仿宋_GB2312" w:cs="仿宋_GB2312"/>
              </w:rPr>
              <w:t xml:space="preserve"> {供应商响应}</w:t>
            </w:r>
          </w:p>
        </w:tc>
      </w:tr>
    </w:tbl>
    <w:p w14:paraId="1805E2B8">
      <w:pPr>
        <w:pStyle w:val="10"/>
        <w:jc w:val="left"/>
      </w:pPr>
      <w:r>
        <w:rPr>
          <w:rFonts w:ascii="仿宋_GB2312" w:hAnsi="仿宋_GB2312" w:eastAsia="仿宋_GB2312" w:cs="仿宋_GB2312"/>
        </w:rPr>
        <w:t>合计：</w:t>
      </w:r>
    </w:p>
    <w:p w14:paraId="41E6E90B">
      <w:pPr>
        <w:pStyle w:val="10"/>
        <w:jc w:val="left"/>
      </w:pPr>
      <w:r>
        <w:rPr>
          <w:rFonts w:ascii="仿宋_GB2312" w:hAnsi="仿宋_GB2312" w:eastAsia="仿宋_GB2312" w:cs="仿宋_GB2312"/>
        </w:rPr>
        <w:t>备注：无</w:t>
      </w:r>
    </w:p>
    <w:p w14:paraId="1D10959F">
      <w:pPr>
        <w:pStyle w:val="10"/>
        <w:jc w:val="left"/>
      </w:pPr>
      <w:r>
        <w:rPr>
          <w:rFonts w:ascii="仿宋_GB2312" w:hAnsi="仿宋_GB2312" w:eastAsia="仿宋_GB2312" w:cs="仿宋_GB2312"/>
        </w:rPr>
        <w:t>时间：     年     月     日</w:t>
      </w:r>
    </w:p>
    <w:p w14:paraId="5551544A">
      <w:pPr>
        <w:pStyle w:val="10"/>
        <w:jc w:val="left"/>
      </w:pPr>
      <w:r>
        <w:rPr>
          <w:rFonts w:ascii="仿宋_GB2312" w:hAnsi="仿宋_GB2312" w:eastAsia="仿宋_GB2312" w:cs="仿宋_GB2312"/>
        </w:rPr>
        <w:t xml:space="preserve">签章：                     </w:t>
      </w:r>
    </w:p>
    <w:p w14:paraId="0F5BA1D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42D549">
      <w:pPr>
        <w:pStyle w:val="10"/>
        <w:jc w:val="center"/>
        <w:outlineLvl w:val="2"/>
      </w:pPr>
      <w:r>
        <w:rPr>
          <w:rFonts w:ascii="仿宋_GB2312" w:hAnsi="仿宋_GB2312" w:eastAsia="仿宋_GB2312" w:cs="仿宋_GB2312"/>
          <w:b/>
          <w:sz w:val="28"/>
        </w:rPr>
        <w:t>4、资格证明文件</w:t>
      </w:r>
    </w:p>
    <w:p w14:paraId="6943CD13">
      <w:pPr>
        <w:pStyle w:val="10"/>
        <w:jc w:val="center"/>
        <w:outlineLvl w:val="2"/>
      </w:pPr>
      <w:r>
        <w:rPr>
          <w:rFonts w:ascii="仿宋_GB2312" w:hAnsi="仿宋_GB2312" w:eastAsia="仿宋_GB2312" w:cs="仿宋_GB2312"/>
          <w:b/>
          <w:sz w:val="28"/>
        </w:rPr>
        <w:t>4-1、单位负责人授权书</w:t>
      </w:r>
      <w:r>
        <w:br w:type="textWrapping"/>
      </w:r>
    </w:p>
    <w:p w14:paraId="5A458A0B">
      <w:pPr>
        <w:pStyle w:val="10"/>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（采购人或采购代理机构）</w:t>
      </w:r>
    </w:p>
    <w:p w14:paraId="1AF76EA2">
      <w:pPr>
        <w:pStyle w:val="10"/>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xml:space="preserve">          </w:t>
      </w:r>
      <w:r>
        <w:rPr>
          <w:rFonts w:ascii="仿宋_GB2312" w:hAnsi="仿宋_GB2312" w:eastAsia="仿宋_GB2312" w:cs="仿宋_GB2312"/>
        </w:rPr>
        <w:t>）的询价，全权代表我方处理询价过程的一切事宜，包括但不限于：报价、参与报价会、谈判、签约等。供应商代表在询价过程中所签署的一切文件和处理与之有关的一切事务，我方均予以认可并对此承担责任。</w:t>
      </w:r>
    </w:p>
    <w:p w14:paraId="3CA65589">
      <w:pPr>
        <w:pStyle w:val="10"/>
        <w:ind w:firstLine="480"/>
        <w:jc w:val="left"/>
      </w:pPr>
      <w:r>
        <w:rPr>
          <w:rFonts w:ascii="仿宋_GB2312" w:hAnsi="仿宋_GB2312" w:eastAsia="仿宋_GB2312" w:cs="仿宋_GB2312"/>
        </w:rPr>
        <w:t>供应商代表无转委权。特此授权。</w:t>
      </w:r>
    </w:p>
    <w:p w14:paraId="223C4A25">
      <w:pPr>
        <w:pStyle w:val="10"/>
        <w:ind w:firstLine="480"/>
        <w:jc w:val="center"/>
      </w:pPr>
      <w:r>
        <w:rPr>
          <w:rFonts w:ascii="仿宋_GB2312" w:hAnsi="仿宋_GB2312" w:eastAsia="仿宋_GB2312" w:cs="仿宋_GB2312"/>
        </w:rPr>
        <w:t>（以下无正文）</w:t>
      </w:r>
    </w:p>
    <w:p w14:paraId="00EDB9A1">
      <w:pPr>
        <w:pStyle w:val="10"/>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xml:space="preserve">         </w:t>
      </w:r>
      <w:r>
        <w:rPr>
          <w:rFonts w:ascii="仿宋_GB2312" w:hAnsi="仿宋_GB2312" w:eastAsia="仿宋_GB2312" w:cs="仿宋_GB2312"/>
        </w:rPr>
        <w:t>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p>
    <w:p w14:paraId="60A33879">
      <w:pPr>
        <w:pStyle w:val="10"/>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xml:space="preserve">         </w:t>
      </w:r>
      <w:r>
        <w:rPr>
          <w:rFonts w:ascii="仿宋_GB2312" w:hAnsi="仿宋_GB2312" w:eastAsia="仿宋_GB2312" w:cs="仿宋_GB2312"/>
        </w:rPr>
        <w:t>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r>
        <w:br w:type="textWrapping"/>
      </w:r>
      <w:r>
        <w:br w:type="textWrapping"/>
      </w:r>
    </w:p>
    <w:p w14:paraId="512ACA8B">
      <w:pPr>
        <w:pStyle w:val="10"/>
        <w:ind w:firstLine="480"/>
        <w:jc w:val="left"/>
      </w:pPr>
      <w:r>
        <w:rPr>
          <w:rFonts w:ascii="仿宋_GB2312" w:hAnsi="仿宋_GB2312" w:eastAsia="仿宋_GB2312" w:cs="仿宋_GB2312"/>
        </w:rPr>
        <w:t>授权方</w:t>
      </w:r>
    </w:p>
    <w:p w14:paraId="3AAD8FBC">
      <w:pPr>
        <w:pStyle w:val="10"/>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04B4ABCB">
      <w:pPr>
        <w:pStyle w:val="10"/>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xml:space="preserve">            </w:t>
      </w:r>
      <w:r>
        <w:br w:type="textWrapping"/>
      </w:r>
      <w:r>
        <w:br w:type="textWrapping"/>
      </w:r>
    </w:p>
    <w:p w14:paraId="48690B48">
      <w:pPr>
        <w:pStyle w:val="10"/>
        <w:ind w:firstLine="480"/>
        <w:jc w:val="left"/>
      </w:pPr>
      <w:r>
        <w:rPr>
          <w:rFonts w:ascii="仿宋_GB2312" w:hAnsi="仿宋_GB2312" w:eastAsia="仿宋_GB2312" w:cs="仿宋_GB2312"/>
        </w:rPr>
        <w:t>接受授权方</w:t>
      </w:r>
    </w:p>
    <w:p w14:paraId="7522E446">
      <w:pPr>
        <w:pStyle w:val="10"/>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31CF9A0D">
      <w:pPr>
        <w:pStyle w:val="10"/>
        <w:ind w:firstLine="480"/>
        <w:jc w:val="right"/>
      </w:pPr>
      <w:r>
        <w:rPr>
          <w:rFonts w:ascii="仿宋_GB2312" w:hAnsi="仿宋_GB2312" w:eastAsia="仿宋_GB2312" w:cs="仿宋_GB2312"/>
        </w:rPr>
        <w:t>签署日期：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p>
    <w:p w14:paraId="119DB0AB">
      <w:pPr>
        <w:pStyle w:val="10"/>
        <w:ind w:firstLine="480"/>
        <w:jc w:val="left"/>
      </w:pPr>
      <w:r>
        <w:rPr>
          <w:rFonts w:ascii="仿宋_GB2312" w:hAnsi="仿宋_GB2312" w:eastAsia="仿宋_GB2312" w:cs="仿宋_GB2312"/>
        </w:rPr>
        <w:t>附：单位负责人、供应商代表的身份证正反面复印件</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2"/>
      </w:tblGrid>
      <w:tr w14:paraId="4E6E2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2" w:type="dxa"/>
          </w:tcPr>
          <w:p w14:paraId="55A185BE">
            <w:pPr>
              <w:pStyle w:val="10"/>
              <w:jc w:val="center"/>
            </w:pPr>
            <w:r>
              <w:rPr>
                <w:rFonts w:ascii="仿宋_GB2312" w:hAnsi="仿宋_GB2312" w:eastAsia="仿宋_GB2312" w:cs="仿宋_GB2312"/>
                <w:b/>
              </w:rPr>
              <w:t>要求：真实、有效、清晰</w:t>
            </w:r>
          </w:p>
        </w:tc>
      </w:tr>
    </w:tbl>
    <w:p w14:paraId="64947B8A">
      <w:pPr>
        <w:pStyle w:val="10"/>
        <w:ind w:firstLine="480"/>
        <w:jc w:val="left"/>
      </w:pPr>
      <w:r>
        <w:rPr>
          <w:rFonts w:ascii="仿宋_GB2312" w:hAnsi="仿宋_GB2312" w:eastAsia="仿宋_GB2312" w:cs="仿宋_GB2312"/>
        </w:rPr>
        <w:t>※注意：</w:t>
      </w:r>
    </w:p>
    <w:p w14:paraId="6BA64696">
      <w:pPr>
        <w:pStyle w:val="10"/>
        <w:ind w:firstLine="480"/>
        <w:jc w:val="left"/>
      </w:pPr>
      <w:r>
        <w:rPr>
          <w:rFonts w:ascii="仿宋_GB2312" w:hAnsi="仿宋_GB2312" w:eastAsia="仿宋_GB2312" w:cs="仿宋_GB2312"/>
        </w:rPr>
        <w:t>1、企业（银行、保险、石油石化、电力、电信等行业除外）、机关、事业单位和社会团体法人的“单位负责人”指</w:t>
      </w:r>
      <w:r>
        <w:rPr>
          <w:rFonts w:ascii="仿宋_GB2312" w:hAnsi="仿宋_GB2312" w:eastAsia="仿宋_GB2312" w:cs="仿宋_GB2312"/>
          <w:b/>
        </w:rPr>
        <w:t>法定代表人，即与实际提交的“营业执照等证明文件”载明的一致。</w:t>
      </w:r>
    </w:p>
    <w:p w14:paraId="165D7D78">
      <w:pPr>
        <w:pStyle w:val="10"/>
        <w:ind w:firstLine="480"/>
        <w:jc w:val="left"/>
      </w:pPr>
      <w:r>
        <w:rPr>
          <w:rFonts w:ascii="仿宋_GB2312" w:hAnsi="仿宋_GB2312" w:eastAsia="仿宋_GB2312" w:cs="仿宋_GB2312"/>
        </w:rPr>
        <w:t>2、银行、保险、石油石化、电力、电信等行业：以法人身份参加报价的，“单位负责人”指</w:t>
      </w:r>
      <w:r>
        <w:rPr>
          <w:rFonts w:ascii="仿宋_GB2312" w:hAnsi="仿宋_GB2312" w:eastAsia="仿宋_GB2312" w:cs="仿宋_GB2312"/>
          <w:b/>
        </w:rPr>
        <w:t>法定代表人</w:t>
      </w:r>
      <w:r>
        <w:rPr>
          <w:rFonts w:ascii="仿宋_GB2312" w:hAnsi="仿宋_GB2312" w:eastAsia="仿宋_GB2312" w:cs="仿宋_GB2312"/>
        </w:rPr>
        <w:t>，即</w:t>
      </w:r>
      <w:r>
        <w:rPr>
          <w:rFonts w:ascii="仿宋_GB2312" w:hAnsi="仿宋_GB2312" w:eastAsia="仿宋_GB2312" w:cs="仿宋_GB2312"/>
          <w:b/>
        </w:rPr>
        <w:t>与实际提交的“营业执照等证明文件”载明的一致</w:t>
      </w:r>
      <w:r>
        <w:rPr>
          <w:rFonts w:ascii="仿宋_GB2312" w:hAnsi="仿宋_GB2312" w:eastAsia="仿宋_GB2312" w:cs="仿宋_GB2312"/>
        </w:rPr>
        <w:t>；以非法人身份参加报价的，“单位负责人”指</w:t>
      </w:r>
      <w:r>
        <w:rPr>
          <w:rFonts w:ascii="仿宋_GB2312" w:hAnsi="仿宋_GB2312" w:eastAsia="仿宋_GB2312" w:cs="仿宋_GB2312"/>
          <w:b/>
        </w:rPr>
        <w:t>代表单位行使职权的主要负责人，即与实际提交的“营业执照等证明文件”载明的一致</w:t>
      </w:r>
      <w:r>
        <w:rPr>
          <w:rFonts w:ascii="仿宋_GB2312" w:hAnsi="仿宋_GB2312" w:eastAsia="仿宋_GB2312" w:cs="仿宋_GB2312"/>
        </w:rPr>
        <w:t>。</w:t>
      </w:r>
      <w:r>
        <w:br w:type="textWrapping"/>
      </w:r>
      <w:r>
        <w:br w:type="textWrapping"/>
      </w:r>
    </w:p>
    <w:p w14:paraId="198D634C">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9C96AC">
      <w:pPr>
        <w:pStyle w:val="10"/>
        <w:jc w:val="center"/>
        <w:outlineLvl w:val="2"/>
      </w:pPr>
      <w:r>
        <w:rPr>
          <w:rFonts w:ascii="仿宋_GB2312" w:hAnsi="仿宋_GB2312" w:eastAsia="仿宋_GB2312" w:cs="仿宋_GB2312"/>
          <w:b/>
          <w:sz w:val="28"/>
        </w:rPr>
        <w:t>4-2 证明材料</w:t>
      </w:r>
    </w:p>
    <w:p w14:paraId="6D085F8F">
      <w:pPr>
        <w:pStyle w:val="10"/>
        <w:ind w:firstLine="480"/>
        <w:jc w:val="left"/>
      </w:pPr>
      <w:r>
        <w:rPr>
          <w:rFonts w:ascii="仿宋_GB2312" w:hAnsi="仿宋_GB2312" w:eastAsia="仿宋_GB2312" w:cs="仿宋_GB2312"/>
        </w:rPr>
        <w:t>注：根据询价须知前附表1第1项号的“（2）特定资格条件”要求，允许供应商采用资格承诺制的，可提供符合要求的4-2-1资格承诺函，视为满足响应文件的资格要求，供应商根据响应文件格式4-2-1、4-2-2提供其中一种证明材料，若重复提供导致的不利后果，由供应商自行负责。</w:t>
      </w:r>
    </w:p>
    <w:p w14:paraId="6F0DB0A6">
      <w:pPr>
        <w:pStyle w:val="10"/>
        <w:jc w:val="center"/>
        <w:outlineLvl w:val="2"/>
      </w:pPr>
      <w:r>
        <w:rPr>
          <w:rFonts w:ascii="仿宋_GB2312" w:hAnsi="仿宋_GB2312" w:eastAsia="仿宋_GB2312" w:cs="仿宋_GB2312"/>
          <w:b/>
          <w:sz w:val="28"/>
        </w:rPr>
        <w:t>附件4-2-1 福建省政府采购供应商资格承诺函</w:t>
      </w:r>
    </w:p>
    <w:p w14:paraId="3FBB7D45">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A3AD9F9">
      <w:pPr>
        <w:pStyle w:val="10"/>
        <w:ind w:firstLine="960"/>
        <w:jc w:val="left"/>
      </w:pPr>
      <w:r>
        <w:rPr>
          <w:rFonts w:ascii="仿宋_GB2312" w:hAnsi="仿宋_GB2312" w:eastAsia="仿宋_GB2312" w:cs="仿宋_GB2312"/>
        </w:rPr>
        <w:t>单位名称(自然人姓名):</w:t>
      </w:r>
    </w:p>
    <w:p w14:paraId="5DB5F816">
      <w:pPr>
        <w:pStyle w:val="10"/>
        <w:ind w:firstLine="960"/>
        <w:jc w:val="left"/>
      </w:pPr>
      <w:r>
        <w:rPr>
          <w:rFonts w:ascii="仿宋_GB2312" w:hAnsi="仿宋_GB2312" w:eastAsia="仿宋_GB2312" w:cs="仿宋_GB2312"/>
        </w:rPr>
        <w:t>统一社会信用代码(自然人身份证号码):</w:t>
      </w:r>
    </w:p>
    <w:p w14:paraId="463C5EDA">
      <w:pPr>
        <w:pStyle w:val="10"/>
        <w:ind w:firstLine="960"/>
        <w:jc w:val="left"/>
      </w:pPr>
      <w:r>
        <w:rPr>
          <w:rFonts w:ascii="仿宋_GB2312" w:hAnsi="仿宋_GB2312" w:eastAsia="仿宋_GB2312" w:cs="仿宋_GB2312"/>
        </w:rPr>
        <w:t>法定代表人(负责人):</w:t>
      </w:r>
    </w:p>
    <w:p w14:paraId="659EB838">
      <w:pPr>
        <w:pStyle w:val="10"/>
        <w:ind w:firstLine="960"/>
        <w:jc w:val="left"/>
      </w:pPr>
      <w:r>
        <w:rPr>
          <w:rFonts w:ascii="仿宋_GB2312" w:hAnsi="仿宋_GB2312" w:eastAsia="仿宋_GB2312" w:cs="仿宋_GB2312"/>
        </w:rPr>
        <w:t>联系地址和电话:</w:t>
      </w:r>
    </w:p>
    <w:p w14:paraId="077DCFEC">
      <w:pPr>
        <w:pStyle w:val="10"/>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36623A4">
      <w:pPr>
        <w:pStyle w:val="10"/>
        <w:ind w:firstLine="480"/>
        <w:jc w:val="left"/>
      </w:pPr>
      <w:r>
        <w:rPr>
          <w:rFonts w:ascii="仿宋_GB2312" w:hAnsi="仿宋_GB2312" w:eastAsia="仿宋_GB2312" w:cs="仿宋_GB2312"/>
        </w:rPr>
        <w:t>一、我单位(本人)具备采购文件要求以及《中华人民共和国政府采购法》第二十二条规定的条件:</w:t>
      </w:r>
    </w:p>
    <w:p w14:paraId="56D8C569">
      <w:pPr>
        <w:pStyle w:val="10"/>
        <w:ind w:firstLine="960"/>
        <w:jc w:val="left"/>
      </w:pPr>
      <w:r>
        <w:rPr>
          <w:rFonts w:ascii="仿宋_GB2312" w:hAnsi="仿宋_GB2312" w:eastAsia="仿宋_GB2312" w:cs="仿宋_GB2312"/>
        </w:rPr>
        <w:t>1.具有独立承担民事责任的能力;</w:t>
      </w:r>
    </w:p>
    <w:p w14:paraId="5ED7FFB1">
      <w:pPr>
        <w:pStyle w:val="10"/>
        <w:ind w:firstLine="960"/>
        <w:jc w:val="left"/>
      </w:pPr>
      <w:r>
        <w:rPr>
          <w:rFonts w:ascii="仿宋_GB2312" w:hAnsi="仿宋_GB2312" w:eastAsia="仿宋_GB2312" w:cs="仿宋_GB2312"/>
        </w:rPr>
        <w:t>2.具有良好的商业信誉和健全的财务会计制度;</w:t>
      </w:r>
    </w:p>
    <w:p w14:paraId="68C943E3">
      <w:pPr>
        <w:pStyle w:val="10"/>
        <w:ind w:firstLine="960"/>
        <w:jc w:val="left"/>
      </w:pPr>
      <w:r>
        <w:rPr>
          <w:rFonts w:ascii="仿宋_GB2312" w:hAnsi="仿宋_GB2312" w:eastAsia="仿宋_GB2312" w:cs="仿宋_GB2312"/>
        </w:rPr>
        <w:t>3.具有履行合同所必需的设备和专业技术能力;</w:t>
      </w:r>
    </w:p>
    <w:p w14:paraId="2695AE4A">
      <w:pPr>
        <w:pStyle w:val="10"/>
        <w:ind w:firstLine="960"/>
        <w:jc w:val="left"/>
      </w:pPr>
      <w:r>
        <w:rPr>
          <w:rFonts w:ascii="仿宋_GB2312" w:hAnsi="仿宋_GB2312" w:eastAsia="仿宋_GB2312" w:cs="仿宋_GB2312"/>
        </w:rPr>
        <w:t>4.有依法缴纳税收和社会保障资金的良好记录;</w:t>
      </w:r>
    </w:p>
    <w:p w14:paraId="0070D0D3">
      <w:pPr>
        <w:pStyle w:val="10"/>
        <w:ind w:firstLine="960"/>
        <w:jc w:val="left"/>
      </w:pPr>
      <w:r>
        <w:rPr>
          <w:rFonts w:ascii="仿宋_GB2312" w:hAnsi="仿宋_GB2312" w:eastAsia="仿宋_GB2312" w:cs="仿宋_GB2312"/>
        </w:rPr>
        <w:t>5.参加政府采购活动前三年内，在经营活动中没有重大违法记录；</w:t>
      </w:r>
    </w:p>
    <w:p w14:paraId="372E451B">
      <w:pPr>
        <w:pStyle w:val="10"/>
        <w:ind w:firstLine="960"/>
        <w:jc w:val="left"/>
      </w:pPr>
      <w:r>
        <w:rPr>
          <w:rFonts w:ascii="仿宋_GB2312" w:hAnsi="仿宋_GB2312" w:eastAsia="仿宋_GB2312" w:cs="仿宋_GB2312"/>
        </w:rPr>
        <w:t>6.法律、行政法规规定的其他条件。</w:t>
      </w:r>
    </w:p>
    <w:p w14:paraId="35F22B8C">
      <w:pPr>
        <w:pStyle w:val="10"/>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6A03084">
      <w:pPr>
        <w:pStyle w:val="10"/>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2535DDE">
      <w:pPr>
        <w:pStyle w:val="10"/>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D37774E">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D024AED">
      <w:pPr>
        <w:pStyle w:val="10"/>
        <w:ind w:firstLine="480"/>
        <w:jc w:val="left"/>
      </w:pPr>
      <w:r>
        <w:rPr>
          <w:rFonts w:ascii="仿宋_GB2312" w:hAnsi="仿宋_GB2312" w:eastAsia="仿宋_GB2312" w:cs="仿宋_GB2312"/>
        </w:rPr>
        <w:t>注：</w:t>
      </w:r>
    </w:p>
    <w:p w14:paraId="3F5DFFC3">
      <w:pPr>
        <w:pStyle w:val="10"/>
        <w:ind w:firstLine="960"/>
        <w:jc w:val="left"/>
      </w:pPr>
      <w:r>
        <w:rPr>
          <w:rFonts w:ascii="仿宋_GB2312" w:hAnsi="仿宋_GB2312" w:eastAsia="仿宋_GB2312" w:cs="仿宋_GB2312"/>
        </w:rPr>
        <w:t>1.我单位(本人)专指参加政府采购活动的供应商(含自然人)；</w:t>
      </w:r>
    </w:p>
    <w:p w14:paraId="2EDFF659">
      <w:pPr>
        <w:pStyle w:val="10"/>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E79B7EA">
      <w:pPr>
        <w:pStyle w:val="10"/>
        <w:jc w:val="center"/>
        <w:outlineLvl w:val="2"/>
      </w:pPr>
      <w:r>
        <w:rPr>
          <w:rFonts w:ascii="仿宋_GB2312" w:hAnsi="仿宋_GB2312" w:eastAsia="仿宋_GB2312" w:cs="仿宋_GB2312"/>
          <w:b/>
          <w:sz w:val="28"/>
        </w:rPr>
        <w:t>附件4-2-2 证明材料</w:t>
      </w:r>
    </w:p>
    <w:p w14:paraId="18277698">
      <w:pPr>
        <w:pStyle w:val="10"/>
        <w:jc w:val="center"/>
        <w:outlineLvl w:val="2"/>
      </w:pPr>
      <w:r>
        <w:rPr>
          <w:rFonts w:ascii="仿宋_GB2312" w:hAnsi="仿宋_GB2312" w:eastAsia="仿宋_GB2312" w:cs="仿宋_GB2312"/>
          <w:b/>
          <w:sz w:val="28"/>
        </w:rPr>
        <w:t>营业执照等证明文件</w:t>
      </w:r>
      <w:r>
        <w:br w:type="textWrapping"/>
      </w:r>
    </w:p>
    <w:p w14:paraId="1A1C914E">
      <w:pPr>
        <w:pStyle w:val="10"/>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（采购人或代理机构）</w:t>
      </w:r>
    </w:p>
    <w:p w14:paraId="7A083759">
      <w:pPr>
        <w:pStyle w:val="10"/>
        <w:ind w:firstLine="480"/>
        <w:jc w:val="left"/>
      </w:pPr>
      <w:r>
        <w:rPr>
          <w:rFonts w:ascii="仿宋_GB2312" w:hAnsi="仿宋_GB2312" w:eastAsia="仿宋_GB2312" w:cs="仿宋_GB2312"/>
        </w:rPr>
        <w:t>（ ）供应商为法人（包括企业、事业单位和社会团体）的</w:t>
      </w:r>
    </w:p>
    <w:p w14:paraId="23C0165B">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587F0457">
      <w:pPr>
        <w:pStyle w:val="10"/>
        <w:ind w:firstLine="480"/>
        <w:jc w:val="left"/>
      </w:pPr>
      <w:r>
        <w:rPr>
          <w:rFonts w:ascii="仿宋_GB2312" w:hAnsi="仿宋_GB2312" w:eastAsia="仿宋_GB2312" w:cs="仿宋_GB2312"/>
        </w:rPr>
        <w:t>（ ）供应商为非法人（包括其他组织、自然人）的</w:t>
      </w:r>
    </w:p>
    <w:p w14:paraId="0E4A118C">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2ADA5191">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0BFBA271">
      <w:pPr>
        <w:pStyle w:val="10"/>
        <w:ind w:firstLine="480"/>
        <w:jc w:val="left"/>
      </w:pPr>
      <w:r>
        <w:rPr>
          <w:rFonts w:ascii="仿宋_GB2312" w:hAnsi="仿宋_GB2312" w:eastAsia="仿宋_GB2312" w:cs="仿宋_GB2312"/>
        </w:rPr>
        <w:t>※注意：</w:t>
      </w:r>
    </w:p>
    <w:p w14:paraId="15EB5B05">
      <w:pPr>
        <w:pStyle w:val="10"/>
        <w:ind w:firstLine="480"/>
        <w:jc w:val="left"/>
      </w:pPr>
      <w:r>
        <w:rPr>
          <w:rFonts w:ascii="仿宋_GB2312" w:hAnsi="仿宋_GB2312" w:eastAsia="仿宋_GB2312" w:cs="仿宋_GB2312"/>
        </w:rPr>
        <w:t>1、请供应商按照实际情况编制填写，在相应的（）中打“√”并选择相应的“□”（若有）后，再按照本格式的要求提供相应证明材料的复印件。</w:t>
      </w:r>
    </w:p>
    <w:p w14:paraId="6957A15F">
      <w:pPr>
        <w:pStyle w:val="10"/>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r>
        <w:br w:type="textWrapping"/>
      </w:r>
      <w:r>
        <w:br w:type="textWrapping"/>
      </w:r>
    </w:p>
    <w:p w14:paraId="133C32EB">
      <w:pPr>
        <w:pStyle w:val="10"/>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562971F4">
      <w:pPr>
        <w:pStyle w:val="10"/>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1C1BC294">
      <w:pPr>
        <w:pStyle w:val="10"/>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0DE9BD4E">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9DFDCC">
      <w:pPr>
        <w:pStyle w:val="10"/>
        <w:jc w:val="center"/>
        <w:outlineLvl w:val="2"/>
      </w:pPr>
      <w:r>
        <w:rPr>
          <w:rFonts w:ascii="仿宋_GB2312" w:hAnsi="仿宋_GB2312" w:eastAsia="仿宋_GB2312" w:cs="仿宋_GB2312"/>
          <w:b/>
          <w:sz w:val="28"/>
        </w:rPr>
        <w:t>财务状况报告</w:t>
      </w:r>
      <w:r>
        <w:br w:type="textWrapping"/>
      </w:r>
    </w:p>
    <w:p w14:paraId="31731EB8">
      <w:pPr>
        <w:pStyle w:val="10"/>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 xml:space="preserve"> （采购人或代理机构）</w:t>
      </w:r>
    </w:p>
    <w:p w14:paraId="45053B78">
      <w:pPr>
        <w:pStyle w:val="10"/>
        <w:ind w:firstLine="480"/>
        <w:jc w:val="left"/>
      </w:pPr>
      <w:r>
        <w:rPr>
          <w:rFonts w:ascii="仿宋_GB2312" w:hAnsi="仿宋_GB2312" w:eastAsia="仿宋_GB2312" w:cs="仿宋_GB2312"/>
        </w:rPr>
        <w:t>（ ）供应商提供财务报告的</w:t>
      </w:r>
    </w:p>
    <w:p w14:paraId="6ED74F4B">
      <w:pPr>
        <w:pStyle w:val="10"/>
        <w:ind w:firstLine="480"/>
        <w:jc w:val="left"/>
      </w:pPr>
      <w:r>
        <w:rPr>
          <w:rFonts w:ascii="仿宋_GB2312" w:hAnsi="仿宋_GB2312" w:eastAsia="仿宋_GB2312" w:cs="仿宋_GB2312"/>
        </w:rPr>
        <w:t>□企业适用：现附上我方（填写“具体的年度、或半年度、或季度”）财务报告复印件，包括资产负债表、利润表、现金流量表、所有者权益变动表（若有）及其附注（若有）、会计师事务所营业执照和注册会计师资格证书，上述证明材料真实有效，否则我方负全部责任。</w:t>
      </w:r>
    </w:p>
    <w:p w14:paraId="3BFF296D">
      <w:pPr>
        <w:pStyle w:val="10"/>
        <w:ind w:firstLine="480"/>
        <w:jc w:val="left"/>
      </w:pPr>
      <w:r>
        <w:rPr>
          <w:rFonts w:ascii="仿宋_GB2312" w:hAnsi="仿宋_GB2312" w:eastAsia="仿宋_GB2312" w:cs="仿宋_GB2312"/>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3FF5D3D9">
      <w:pPr>
        <w:pStyle w:val="10"/>
        <w:ind w:firstLine="480"/>
        <w:jc w:val="left"/>
      </w:pPr>
      <w:r>
        <w:rPr>
          <w:rFonts w:ascii="仿宋_GB2312" w:hAnsi="仿宋_GB2312" w:eastAsia="仿宋_GB2312" w:cs="仿宋_GB2312"/>
        </w:rPr>
        <w:t>□社会团体、民办非企适用：现附上我方（填写“具体的年度、或半年度、或季度”）财务报告复印件，包括资产负债表、业务活动表、现金流量表、会计师事务所营业执照和注册会计师资格证书，上述证明材料真实有效，否则我方负全部责任。</w:t>
      </w:r>
    </w:p>
    <w:p w14:paraId="1B6DD567">
      <w:pPr>
        <w:pStyle w:val="10"/>
        <w:ind w:firstLine="480"/>
        <w:jc w:val="left"/>
      </w:pPr>
      <w:r>
        <w:rPr>
          <w:rFonts w:ascii="仿宋_GB2312" w:hAnsi="仿宋_GB2312" w:eastAsia="仿宋_GB2312" w:cs="仿宋_GB2312"/>
        </w:rPr>
        <w:t>（ ）供应商提供资信证明的</w:t>
      </w:r>
    </w:p>
    <w:p w14:paraId="3FA8C038">
      <w:pPr>
        <w:pStyle w:val="10"/>
        <w:ind w:firstLine="480"/>
        <w:jc w:val="left"/>
      </w:pPr>
      <w:r>
        <w:rPr>
          <w:rFonts w:ascii="仿宋_GB2312" w:hAnsi="仿宋_GB2312" w:eastAsia="仿宋_GB2312" w:cs="仿宋_GB2312"/>
        </w:rPr>
        <w:t>□非自然人适用（包括企业、事业单位、社会团体和其他组织）：现附上我方银行：（填写“开户银行全称”）出具的资信证明复印件，上述证明材料真实有效，否则我方负全部责任。</w:t>
      </w:r>
    </w:p>
    <w:p w14:paraId="350B621A">
      <w:pPr>
        <w:pStyle w:val="10"/>
        <w:ind w:firstLine="480"/>
        <w:jc w:val="left"/>
      </w:pPr>
      <w:r>
        <w:rPr>
          <w:rFonts w:ascii="仿宋_GB2312" w:hAnsi="仿宋_GB2312" w:eastAsia="仿宋_GB2312" w:cs="仿宋_GB2312"/>
        </w:rPr>
        <w:t>□自然人适用：现附上我方银行：（填写自然人的“个人账户的开户银行全称”）出具的资信证明复印件，上述证明材料真实有效，否则我方负全部责任。</w:t>
      </w:r>
    </w:p>
    <w:p w14:paraId="4FBEABBB">
      <w:pPr>
        <w:pStyle w:val="10"/>
        <w:ind w:firstLine="480"/>
        <w:jc w:val="left"/>
      </w:pPr>
      <w:r>
        <w:rPr>
          <w:rFonts w:ascii="仿宋_GB2312" w:hAnsi="仿宋_GB2312" w:eastAsia="仿宋_GB2312" w:cs="仿宋_GB2312"/>
        </w:rPr>
        <w:t>※注意：</w:t>
      </w:r>
    </w:p>
    <w:p w14:paraId="0023E6DD">
      <w:pPr>
        <w:pStyle w:val="10"/>
        <w:ind w:firstLine="480"/>
        <w:jc w:val="left"/>
      </w:pPr>
      <w:r>
        <w:rPr>
          <w:rFonts w:ascii="仿宋_GB2312" w:hAnsi="仿宋_GB2312" w:eastAsia="仿宋_GB2312" w:cs="仿宋_GB2312"/>
        </w:rPr>
        <w:t>1、请供应商按照实际情况编制填写，在相应的（）中打“√”并选择相应的“□”（若有）后，再按照本格式的要求提供相应证明材料的复印件。</w:t>
      </w:r>
    </w:p>
    <w:p w14:paraId="7505BCDF">
      <w:pPr>
        <w:pStyle w:val="10"/>
        <w:ind w:firstLine="480"/>
        <w:jc w:val="left"/>
      </w:pPr>
      <w:r>
        <w:rPr>
          <w:rFonts w:ascii="仿宋_GB2312" w:hAnsi="仿宋_GB2312" w:eastAsia="仿宋_GB2312" w:cs="仿宋_GB2312"/>
        </w:rPr>
        <w:t>2、供应商提供的财务报告复印件（成立年限按照提交响应文件截止时间推算）应符合下列规定：</w:t>
      </w:r>
    </w:p>
    <w:p w14:paraId="56CC3FB1">
      <w:pPr>
        <w:pStyle w:val="10"/>
        <w:ind w:firstLine="480"/>
        <w:jc w:val="left"/>
      </w:pPr>
      <w:r>
        <w:rPr>
          <w:rFonts w:ascii="仿宋_GB2312" w:hAnsi="仿宋_GB2312" w:eastAsia="仿宋_GB2312" w:cs="仿宋_GB2312"/>
        </w:rPr>
        <w:t>2.1成立年限满1年及以上的供应商，提供经审计的上一年度的年度财务报告。</w:t>
      </w:r>
    </w:p>
    <w:p w14:paraId="1E55C4BA">
      <w:pPr>
        <w:pStyle w:val="10"/>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37CD8E55">
      <w:pPr>
        <w:pStyle w:val="10"/>
        <w:ind w:firstLine="480"/>
        <w:jc w:val="left"/>
      </w:pPr>
      <w:r>
        <w:rPr>
          <w:rFonts w:ascii="仿宋_GB2312" w:hAnsi="仿宋_GB2312" w:eastAsia="仿宋_GB2312" w:cs="仿宋_GB2312"/>
          <w:b/>
        </w:rPr>
        <w:t>※无法按照本格式第2.1、2.2条规定提供财务报告复印件的供应商，应按照本格式的要求选择提供资信证明复印件或投标担保函复印件。</w:t>
      </w:r>
      <w:r>
        <w:br w:type="textWrapping"/>
      </w:r>
      <w:r>
        <w:br w:type="textWrapping"/>
      </w:r>
    </w:p>
    <w:p w14:paraId="09721F14">
      <w:pPr>
        <w:pStyle w:val="10"/>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66EAE92B">
      <w:pPr>
        <w:pStyle w:val="10"/>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663628A0">
      <w:pPr>
        <w:pStyle w:val="10"/>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1036D34F">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6FD522">
      <w:pPr>
        <w:pStyle w:val="10"/>
        <w:jc w:val="center"/>
        <w:outlineLvl w:val="2"/>
      </w:pPr>
      <w:r>
        <w:rPr>
          <w:rFonts w:ascii="仿宋_GB2312" w:hAnsi="仿宋_GB2312" w:eastAsia="仿宋_GB2312" w:cs="仿宋_GB2312"/>
          <w:b/>
          <w:sz w:val="28"/>
        </w:rPr>
        <w:t>依法缴纳税收证明材料</w:t>
      </w:r>
      <w:r>
        <w:br w:type="textWrapping"/>
      </w:r>
    </w:p>
    <w:p w14:paraId="64675C72">
      <w:pPr>
        <w:pStyle w:val="10"/>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（采购人或采购代理机构）</w:t>
      </w:r>
    </w:p>
    <w:p w14:paraId="69119E0B">
      <w:pPr>
        <w:pStyle w:val="10"/>
        <w:ind w:firstLine="480"/>
        <w:jc w:val="left"/>
      </w:pPr>
      <w:r>
        <w:rPr>
          <w:rFonts w:ascii="仿宋_GB2312" w:hAnsi="仿宋_GB2312" w:eastAsia="仿宋_GB2312" w:cs="仿宋_GB2312"/>
        </w:rPr>
        <w:t>1、依法缴纳税收的供应商</w:t>
      </w:r>
    </w:p>
    <w:p w14:paraId="309372A7">
      <w:pPr>
        <w:pStyle w:val="10"/>
        <w:ind w:firstLine="480"/>
        <w:jc w:val="left"/>
      </w:pPr>
      <w:r>
        <w:rPr>
          <w:rFonts w:ascii="仿宋_GB2312" w:hAnsi="仿宋_GB2312" w:eastAsia="仿宋_GB2312" w:cs="仿宋_GB2312"/>
        </w:rPr>
        <w:t>（ ）法人（包括企业、事业单位和社会团体）的</w:t>
      </w:r>
    </w:p>
    <w:p w14:paraId="7F4BD5AD">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日期间我方缴纳的（包括但不限于税务机关出具的专用收据、税收缴纳证明或税收代缴银行的缴款收讫凭证）等税收凭据复印件，上述证明材料真实有效，否则我方负全部责任。</w:t>
      </w:r>
    </w:p>
    <w:p w14:paraId="11835F07">
      <w:pPr>
        <w:pStyle w:val="10"/>
        <w:ind w:firstLine="480"/>
        <w:jc w:val="left"/>
      </w:pPr>
      <w:r>
        <w:rPr>
          <w:rFonts w:ascii="仿宋_GB2312" w:hAnsi="仿宋_GB2312" w:eastAsia="仿宋_GB2312" w:cs="仿宋_GB2312"/>
        </w:rPr>
        <w:t>（ ）非法人（包括其他组织、自然人）的</w:t>
      </w:r>
    </w:p>
    <w:p w14:paraId="386CC53B">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日期间我方缴纳（包括但不限于税务机关出具的专用收据、税收缴纳证明或税收代缴银行的缴款收讫凭证）等税收凭据复印件，上述证明材料真实有效，否则我方负全部责任。</w:t>
      </w:r>
    </w:p>
    <w:p w14:paraId="1BAF5275">
      <w:pPr>
        <w:pStyle w:val="10"/>
        <w:ind w:firstLine="480"/>
        <w:jc w:val="left"/>
      </w:pPr>
      <w:r>
        <w:rPr>
          <w:rFonts w:ascii="仿宋_GB2312" w:hAnsi="仿宋_GB2312" w:eastAsia="仿宋_GB2312" w:cs="仿宋_GB2312"/>
        </w:rPr>
        <w:t>2、依法减免税收的供应商</w:t>
      </w:r>
    </w:p>
    <w:p w14:paraId="6D5ADD2D">
      <w:pPr>
        <w:pStyle w:val="10"/>
        <w:ind w:firstLine="480"/>
        <w:jc w:val="left"/>
      </w:pPr>
      <w:r>
        <w:rPr>
          <w:rFonts w:ascii="仿宋_GB2312" w:hAnsi="仿宋_GB2312" w:eastAsia="仿宋_GB2312" w:cs="仿宋_GB2312"/>
        </w:rPr>
        <w:t>（ ）现附上我方依法减免税收的证明材料复印件，上述证明材料真实有效，否则我方负全部责任。</w:t>
      </w:r>
      <w:r>
        <w:br w:type="textWrapping"/>
      </w:r>
      <w:r>
        <w:br w:type="textWrapping"/>
      </w:r>
    </w:p>
    <w:p w14:paraId="471AE9DA">
      <w:pPr>
        <w:pStyle w:val="10"/>
        <w:ind w:firstLine="480"/>
        <w:jc w:val="left"/>
      </w:pPr>
      <w:r>
        <w:rPr>
          <w:rFonts w:ascii="仿宋_GB2312" w:hAnsi="仿宋_GB2312" w:eastAsia="仿宋_GB2312" w:cs="仿宋_GB2312"/>
        </w:rPr>
        <w:t>※注意：</w:t>
      </w:r>
    </w:p>
    <w:p w14:paraId="0CA7E52B">
      <w:pPr>
        <w:pStyle w:val="10"/>
        <w:ind w:firstLine="480"/>
        <w:jc w:val="left"/>
      </w:pPr>
      <w:r>
        <w:rPr>
          <w:rFonts w:ascii="仿宋_GB2312" w:hAnsi="仿宋_GB2312" w:eastAsia="仿宋_GB2312" w:cs="仿宋_GB2312"/>
        </w:rPr>
        <w:t>1、请供应商按照实际情况编制填写，在相应的（）中打“√”，并按照本格式的要求提供相应证明材料的复印件。</w:t>
      </w:r>
    </w:p>
    <w:p w14:paraId="532DC16E">
      <w:pPr>
        <w:pStyle w:val="10"/>
        <w:ind w:firstLine="480"/>
        <w:jc w:val="left"/>
      </w:pPr>
      <w:r>
        <w:rPr>
          <w:rFonts w:ascii="仿宋_GB2312" w:hAnsi="仿宋_GB2312" w:eastAsia="仿宋_GB2312" w:cs="仿宋_GB2312"/>
        </w:rPr>
        <w:t>2、供应商提供的税收凭据复印件应符合下列规定：</w:t>
      </w:r>
    </w:p>
    <w:p w14:paraId="573AB4A0">
      <w:pPr>
        <w:pStyle w:val="10"/>
        <w:ind w:firstLine="480"/>
        <w:jc w:val="left"/>
      </w:pPr>
      <w:r>
        <w:rPr>
          <w:rFonts w:ascii="仿宋_GB2312" w:hAnsi="仿宋_GB2312" w:eastAsia="仿宋_GB2312" w:cs="仿宋_GB2312"/>
        </w:rPr>
        <w:t>2.1提交响应文件截止时间前（不含提交响应文件截止时间的当月）已依法缴纳税收的供应商，提供提交响应文件截止时间前六个月（不含提交响应文件截止时间的当月）中任一月份的税收凭据复印件。</w:t>
      </w:r>
    </w:p>
    <w:p w14:paraId="0BFB595C">
      <w:pPr>
        <w:pStyle w:val="10"/>
        <w:ind w:firstLine="480"/>
        <w:jc w:val="left"/>
      </w:pPr>
      <w:r>
        <w:rPr>
          <w:rFonts w:ascii="仿宋_GB2312" w:hAnsi="仿宋_GB2312" w:eastAsia="仿宋_GB2312" w:cs="仿宋_GB2312"/>
        </w:rPr>
        <w:t>2.2提交响应文件截止时间的当月成立的供应商,视同满足本项资格条件要求。</w:t>
      </w:r>
      <w:r>
        <w:br w:type="textWrapping"/>
      </w:r>
      <w:r>
        <w:br w:type="textWrapping"/>
      </w:r>
    </w:p>
    <w:p w14:paraId="37973549">
      <w:pPr>
        <w:pStyle w:val="10"/>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04805351">
      <w:pPr>
        <w:pStyle w:val="10"/>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504EEA07">
      <w:pPr>
        <w:pStyle w:val="10"/>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73FA7514">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5988DB">
      <w:pPr>
        <w:pStyle w:val="10"/>
        <w:jc w:val="center"/>
        <w:outlineLvl w:val="2"/>
      </w:pPr>
      <w:r>
        <w:rPr>
          <w:rFonts w:ascii="仿宋_GB2312" w:hAnsi="仿宋_GB2312" w:eastAsia="仿宋_GB2312" w:cs="仿宋_GB2312"/>
          <w:b/>
          <w:sz w:val="28"/>
        </w:rPr>
        <w:t>依法缴纳社会保障资金证明材料</w:t>
      </w:r>
    </w:p>
    <w:p w14:paraId="21919E7F">
      <w:pPr>
        <w:pStyle w:val="10"/>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（采购人或采购代理机构）</w:t>
      </w:r>
    </w:p>
    <w:p w14:paraId="6AB5C85E">
      <w:pPr>
        <w:pStyle w:val="10"/>
        <w:ind w:firstLine="480"/>
        <w:jc w:val="left"/>
      </w:pPr>
      <w:r>
        <w:rPr>
          <w:rFonts w:ascii="仿宋_GB2312" w:hAnsi="仿宋_GB2312" w:eastAsia="仿宋_GB2312" w:cs="仿宋_GB2312"/>
        </w:rPr>
        <w:t>1、依法缴纳社会保障资金的供应商</w:t>
      </w:r>
    </w:p>
    <w:p w14:paraId="1EB0B9F3">
      <w:pPr>
        <w:pStyle w:val="10"/>
        <w:ind w:firstLine="480"/>
        <w:jc w:val="left"/>
      </w:pPr>
      <w:r>
        <w:rPr>
          <w:rFonts w:ascii="仿宋_GB2312" w:hAnsi="仿宋_GB2312" w:eastAsia="仿宋_GB2312" w:cs="仿宋_GB2312"/>
        </w:rPr>
        <w:t>（ ）法人（包括企业、事业单位和社会团体）的</w:t>
      </w:r>
    </w:p>
    <w:p w14:paraId="1606AFBF">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日我方缴纳的社会保险凭据（限：税务机关/社会保障资金管理机关的专用收据或社会保险缴纳清单，或社会保险的银行缴款收讫凭证）复印件，上述证明材料真实有效，否则我方负全部责任。</w:t>
      </w:r>
    </w:p>
    <w:p w14:paraId="42BC2AF7">
      <w:pPr>
        <w:pStyle w:val="10"/>
        <w:ind w:firstLine="480"/>
        <w:jc w:val="left"/>
      </w:pPr>
      <w:r>
        <w:rPr>
          <w:rFonts w:ascii="仿宋_GB2312" w:hAnsi="仿宋_GB2312" w:eastAsia="仿宋_GB2312" w:cs="仿宋_GB2312"/>
        </w:rPr>
        <w:t>（ ）非法人（包括其他组织、自然人）的</w:t>
      </w:r>
    </w:p>
    <w:p w14:paraId="12EF9FF3">
      <w:pPr>
        <w:pStyle w:val="10"/>
        <w:ind w:firstLine="480"/>
        <w:jc w:val="left"/>
      </w:pPr>
      <w:r>
        <w:rPr>
          <w:rFonts w:ascii="仿宋_GB2312" w:hAnsi="仿宋_GB2312" w:eastAsia="仿宋_GB2312" w:cs="仿宋_GB2312"/>
        </w:rPr>
        <w:t>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日我方缴纳的社会保险凭据（限：税务机关/社会保障资金管理机关的专用收据或社会保险缴纳清单，或社会保险的银行缴款收讫凭证）复印件，上述证明材料真实有效，否则我方负全部责任。</w:t>
      </w:r>
    </w:p>
    <w:p w14:paraId="43609DC5">
      <w:pPr>
        <w:pStyle w:val="10"/>
        <w:ind w:firstLine="480"/>
        <w:jc w:val="left"/>
      </w:pPr>
      <w:r>
        <w:rPr>
          <w:rFonts w:ascii="仿宋_GB2312" w:hAnsi="仿宋_GB2312" w:eastAsia="仿宋_GB2312" w:cs="仿宋_GB2312"/>
        </w:rPr>
        <w:t>2、依法不需要缴纳或暂缓缴纳社会保障资金的投标人</w:t>
      </w:r>
    </w:p>
    <w:p w14:paraId="476E1935">
      <w:pPr>
        <w:pStyle w:val="10"/>
        <w:ind w:firstLine="480"/>
        <w:jc w:val="left"/>
      </w:pPr>
      <w:r>
        <w:rPr>
          <w:rFonts w:ascii="仿宋_GB2312" w:hAnsi="仿宋_GB2312" w:eastAsia="仿宋_GB2312" w:cs="仿宋_GB2312"/>
        </w:rPr>
        <w:t>（）现附上我方依法不需要缴纳或暂缓缴纳社会保障资金证明材料复印件，上述证明材料真实有效，否则我方负全部责任。</w:t>
      </w:r>
      <w:r>
        <w:br w:type="textWrapping"/>
      </w:r>
      <w:r>
        <w:br w:type="textWrapping"/>
      </w:r>
    </w:p>
    <w:p w14:paraId="31D0902C">
      <w:pPr>
        <w:pStyle w:val="10"/>
        <w:ind w:firstLine="480"/>
        <w:jc w:val="left"/>
      </w:pPr>
      <w:r>
        <w:rPr>
          <w:rFonts w:ascii="仿宋_GB2312" w:hAnsi="仿宋_GB2312" w:eastAsia="仿宋_GB2312" w:cs="仿宋_GB2312"/>
        </w:rPr>
        <w:t>※注意：</w:t>
      </w:r>
    </w:p>
    <w:p w14:paraId="0AF90F7E">
      <w:pPr>
        <w:pStyle w:val="10"/>
        <w:ind w:firstLine="480"/>
        <w:jc w:val="left"/>
      </w:pPr>
      <w:r>
        <w:rPr>
          <w:rFonts w:ascii="仿宋_GB2312" w:hAnsi="仿宋_GB2312" w:eastAsia="仿宋_GB2312" w:cs="仿宋_GB2312"/>
        </w:rPr>
        <w:t>1、请供应商按照实际情况编制填写，在相应的（）中打“√”，并按照本格式的要求提供相应证明材料的复印件。</w:t>
      </w:r>
    </w:p>
    <w:p w14:paraId="1720034E">
      <w:pPr>
        <w:pStyle w:val="10"/>
        <w:ind w:firstLine="480"/>
        <w:jc w:val="left"/>
      </w:pPr>
      <w:r>
        <w:rPr>
          <w:rFonts w:ascii="仿宋_GB2312" w:hAnsi="仿宋_GB2312" w:eastAsia="仿宋_GB2312" w:cs="仿宋_GB2312"/>
        </w:rPr>
        <w:t>2、供应商提供的社会保险凭据复印件应符合下列规定：</w:t>
      </w:r>
    </w:p>
    <w:p w14:paraId="2C650966">
      <w:pPr>
        <w:pStyle w:val="10"/>
        <w:ind w:firstLine="480"/>
        <w:jc w:val="left"/>
      </w:pPr>
      <w:r>
        <w:rPr>
          <w:rFonts w:ascii="仿宋_GB2312" w:hAnsi="仿宋_GB2312" w:eastAsia="仿宋_GB2312" w:cs="仿宋_GB2312"/>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14:paraId="252B6083">
      <w:pPr>
        <w:pStyle w:val="10"/>
        <w:ind w:firstLine="480"/>
        <w:jc w:val="left"/>
      </w:pPr>
      <w:r>
        <w:rPr>
          <w:rFonts w:ascii="仿宋_GB2312" w:hAnsi="仿宋_GB2312" w:eastAsia="仿宋_GB2312" w:cs="仿宋_GB2312"/>
        </w:rPr>
        <w:t>2.2提交响应文件截止时间的当月成立的供应商，视同满足本项资格条件要求。</w:t>
      </w:r>
    </w:p>
    <w:p w14:paraId="12537F60">
      <w:pPr>
        <w:pStyle w:val="10"/>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r>
        <w:br w:type="textWrapping"/>
      </w:r>
      <w:r>
        <w:br w:type="textWrapping"/>
      </w:r>
    </w:p>
    <w:p w14:paraId="7343F6D6">
      <w:pPr>
        <w:pStyle w:val="10"/>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18FBE4D9">
      <w:pPr>
        <w:pStyle w:val="10"/>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66E41F00">
      <w:pPr>
        <w:pStyle w:val="10"/>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74D03E12">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B89677">
      <w:pPr>
        <w:pStyle w:val="10"/>
        <w:jc w:val="center"/>
        <w:outlineLvl w:val="2"/>
      </w:pPr>
      <w:r>
        <w:rPr>
          <w:rFonts w:ascii="仿宋_GB2312" w:hAnsi="仿宋_GB2312" w:eastAsia="仿宋_GB2312" w:cs="仿宋_GB2312"/>
          <w:b/>
          <w:sz w:val="28"/>
        </w:rPr>
        <w:t>具备履行合同所必需设备和专业技术能力证明材料</w:t>
      </w:r>
    </w:p>
    <w:p w14:paraId="0D42BE5C">
      <w:pPr>
        <w:pStyle w:val="10"/>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 xml:space="preserve"> （采购人或采购代理机构）</w:t>
      </w:r>
    </w:p>
    <w:p w14:paraId="0FAB554E">
      <w:pPr>
        <w:pStyle w:val="10"/>
        <w:ind w:firstLine="480"/>
        <w:jc w:val="left"/>
      </w:pPr>
      <w:r>
        <w:rPr>
          <w:rFonts w:ascii="仿宋_GB2312" w:hAnsi="仿宋_GB2312" w:eastAsia="仿宋_GB2312" w:cs="仿宋_GB2312"/>
        </w:rPr>
        <w:t>我方具备履行合同所必需的设备和专业技术能力，否则产生不利后果由我方承担责任。</w:t>
      </w:r>
    </w:p>
    <w:p w14:paraId="29E6AD1B">
      <w:pPr>
        <w:pStyle w:val="10"/>
        <w:ind w:firstLine="480"/>
        <w:jc w:val="left"/>
      </w:pPr>
      <w:r>
        <w:rPr>
          <w:rFonts w:ascii="仿宋_GB2312" w:hAnsi="仿宋_GB2312" w:eastAsia="仿宋_GB2312" w:cs="仿宋_GB2312"/>
        </w:rPr>
        <w:t>特此声明。</w:t>
      </w:r>
      <w:r>
        <w:br w:type="textWrapping"/>
      </w:r>
      <w:r>
        <w:br w:type="textWrapping"/>
      </w:r>
    </w:p>
    <w:p w14:paraId="5B7586CA">
      <w:pPr>
        <w:pStyle w:val="10"/>
        <w:ind w:firstLine="480"/>
        <w:jc w:val="left"/>
      </w:pPr>
      <w:r>
        <w:rPr>
          <w:rFonts w:ascii="仿宋_GB2312" w:hAnsi="仿宋_GB2312" w:eastAsia="仿宋_GB2312" w:cs="仿宋_GB2312"/>
        </w:rPr>
        <w:t>※注意：</w:t>
      </w:r>
    </w:p>
    <w:p w14:paraId="0BA4040E">
      <w:pPr>
        <w:pStyle w:val="10"/>
        <w:ind w:firstLine="480"/>
        <w:jc w:val="left"/>
      </w:pPr>
      <w:r>
        <w:rPr>
          <w:rFonts w:ascii="仿宋_GB2312" w:hAnsi="仿宋_GB2312" w:eastAsia="仿宋_GB2312" w:cs="仿宋_GB2312"/>
        </w:rPr>
        <w:t>1、询价通知书未要求供应商提供</w:t>
      </w:r>
      <w:r>
        <w:rPr>
          <w:rFonts w:ascii="仿宋_GB2312" w:hAnsi="仿宋_GB2312" w:eastAsia="仿宋_GB2312" w:cs="仿宋_GB2312"/>
          <w:b/>
        </w:rPr>
        <w:t>“具备履行合同所必需的设备和专业技术能力的专项证明材料”</w:t>
      </w:r>
      <w:r>
        <w:rPr>
          <w:rFonts w:ascii="仿宋_GB2312" w:hAnsi="仿宋_GB2312" w:eastAsia="仿宋_GB2312" w:cs="仿宋_GB2312"/>
        </w:rPr>
        <w:t>的，供应商应提供本</w:t>
      </w:r>
      <w:r>
        <w:rPr>
          <w:rFonts w:ascii="仿宋_GB2312" w:hAnsi="仿宋_GB2312" w:eastAsia="仿宋_GB2312" w:cs="仿宋_GB2312"/>
          <w:b/>
        </w:rPr>
        <w:t>“具备履行合同所必需的设备和专业技术能力的基本证明材料”</w:t>
      </w:r>
      <w:r>
        <w:rPr>
          <w:rFonts w:ascii="仿宋_GB2312" w:hAnsi="仿宋_GB2312" w:eastAsia="仿宋_GB2312" w:cs="仿宋_GB2312"/>
        </w:rPr>
        <w:t>。</w:t>
      </w:r>
    </w:p>
    <w:p w14:paraId="39E2123D">
      <w:pPr>
        <w:pStyle w:val="10"/>
        <w:ind w:firstLine="480"/>
        <w:jc w:val="left"/>
      </w:pPr>
      <w:r>
        <w:rPr>
          <w:rFonts w:ascii="仿宋_GB2312" w:hAnsi="仿宋_GB2312" w:eastAsia="仿宋_GB2312" w:cs="仿宋_GB2312"/>
        </w:rPr>
        <w:t>2、询价通知书要求供应商提供</w:t>
      </w:r>
      <w:r>
        <w:rPr>
          <w:rFonts w:ascii="仿宋_GB2312" w:hAnsi="仿宋_GB2312" w:eastAsia="仿宋_GB2312" w:cs="仿宋_GB2312"/>
          <w:b/>
        </w:rPr>
        <w:t>“具备履行合同所必需的设备和专业技术能力的专项证明材料”</w:t>
      </w:r>
      <w:r>
        <w:rPr>
          <w:rFonts w:ascii="仿宋_GB2312" w:hAnsi="仿宋_GB2312" w:eastAsia="仿宋_GB2312" w:cs="仿宋_GB2312"/>
        </w:rPr>
        <w:t>的，供应商须另列提供。</w:t>
      </w:r>
    </w:p>
    <w:p w14:paraId="3780EF9D">
      <w:pPr>
        <w:pStyle w:val="10"/>
        <w:ind w:firstLine="480"/>
        <w:jc w:val="left"/>
      </w:pPr>
      <w:r>
        <w:rPr>
          <w:rFonts w:ascii="仿宋_GB2312" w:hAnsi="仿宋_GB2312" w:eastAsia="仿宋_GB2312" w:cs="仿宋_GB2312"/>
        </w:rPr>
        <w:t>3、纸质响应文件正本中的本材料（若有）应为原件。</w:t>
      </w:r>
    </w:p>
    <w:p w14:paraId="2A1B81C0">
      <w:pPr>
        <w:pStyle w:val="10"/>
        <w:ind w:firstLine="480"/>
        <w:jc w:val="left"/>
      </w:pPr>
      <w:r>
        <w:rPr>
          <w:rFonts w:ascii="仿宋_GB2312" w:hAnsi="仿宋_GB2312" w:eastAsia="仿宋_GB2312" w:cs="仿宋_GB2312"/>
        </w:rPr>
        <w:t>4、请供应商根据实际情况如实声明，否则</w:t>
      </w:r>
      <w:r>
        <w:rPr>
          <w:rFonts w:ascii="仿宋_GB2312" w:hAnsi="仿宋_GB2312" w:eastAsia="仿宋_GB2312" w:cs="仿宋_GB2312"/>
          <w:b/>
        </w:rPr>
        <w:t>视为提供虚假材料。</w:t>
      </w:r>
      <w:r>
        <w:br w:type="textWrapping"/>
      </w:r>
      <w:r>
        <w:br w:type="textWrapping"/>
      </w:r>
    </w:p>
    <w:p w14:paraId="52C22654">
      <w:pPr>
        <w:pStyle w:val="10"/>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23CD6BF6">
      <w:pPr>
        <w:pStyle w:val="10"/>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49D122FF">
      <w:pPr>
        <w:pStyle w:val="10"/>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4947FE1B">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A9CC47">
      <w:pPr>
        <w:pStyle w:val="10"/>
        <w:jc w:val="center"/>
        <w:outlineLvl w:val="2"/>
      </w:pPr>
      <w:r>
        <w:rPr>
          <w:rFonts w:ascii="仿宋_GB2312" w:hAnsi="仿宋_GB2312" w:eastAsia="仿宋_GB2312" w:cs="仿宋_GB2312"/>
          <w:b/>
          <w:sz w:val="28"/>
        </w:rPr>
        <w:t>参加采购活动前三年内在经营活动中没有重大违法记录书面声明</w:t>
      </w:r>
    </w:p>
    <w:p w14:paraId="368CA07D">
      <w:pPr>
        <w:pStyle w:val="10"/>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 xml:space="preserve"> （采购人或采购代理机构）</w:t>
      </w:r>
    </w:p>
    <w:p w14:paraId="3F3C207F">
      <w:pPr>
        <w:pStyle w:val="10"/>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6266E71">
      <w:pPr>
        <w:pStyle w:val="10"/>
        <w:ind w:firstLine="480"/>
        <w:jc w:val="left"/>
      </w:pPr>
      <w:r>
        <w:rPr>
          <w:rFonts w:ascii="仿宋_GB2312" w:hAnsi="仿宋_GB2312" w:eastAsia="仿宋_GB2312" w:cs="仿宋_GB2312"/>
        </w:rPr>
        <w:t>特此声明。</w:t>
      </w:r>
    </w:p>
    <w:p w14:paraId="4BD98A6F">
      <w:pPr>
        <w:pStyle w:val="10"/>
        <w:ind w:firstLine="480"/>
        <w:jc w:val="left"/>
      </w:pPr>
      <w:r>
        <w:rPr>
          <w:rFonts w:ascii="仿宋_GB2312" w:hAnsi="仿宋_GB2312" w:eastAsia="仿宋_GB2312" w:cs="仿宋_GB2312"/>
        </w:rPr>
        <w:t>※注意：</w:t>
      </w:r>
    </w:p>
    <w:p w14:paraId="559F9082">
      <w:pPr>
        <w:pStyle w:val="10"/>
        <w:ind w:firstLine="480"/>
        <w:jc w:val="left"/>
      </w:pPr>
      <w:r>
        <w:rPr>
          <w:rFonts w:ascii="仿宋_GB2312" w:hAnsi="仿宋_GB2312" w:eastAsia="仿宋_GB2312" w:cs="仿宋_GB2312"/>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0BCDCD8">
      <w:pPr>
        <w:pStyle w:val="10"/>
        <w:ind w:firstLine="480"/>
        <w:jc w:val="left"/>
      </w:pPr>
      <w:r>
        <w:rPr>
          <w:rFonts w:ascii="仿宋_GB2312" w:hAnsi="仿宋_GB2312" w:eastAsia="仿宋_GB2312" w:cs="仿宋_GB2312"/>
        </w:rPr>
        <w:t>2、请供应商根据实际情况如实声明，否则视为提供虚假材料。</w:t>
      </w:r>
      <w:r>
        <w:br w:type="textWrapping"/>
      </w:r>
      <w:r>
        <w:br w:type="textWrapping"/>
      </w:r>
    </w:p>
    <w:p w14:paraId="01C5FDF0">
      <w:pPr>
        <w:pStyle w:val="10"/>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54FFE685">
      <w:pPr>
        <w:pStyle w:val="10"/>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17D70787">
      <w:pPr>
        <w:pStyle w:val="10"/>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62097D1D">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62451A">
      <w:pPr>
        <w:pStyle w:val="10"/>
        <w:jc w:val="center"/>
        <w:outlineLvl w:val="2"/>
      </w:pPr>
      <w:r>
        <w:rPr>
          <w:rFonts w:ascii="仿宋_GB2312" w:hAnsi="仿宋_GB2312" w:eastAsia="仿宋_GB2312" w:cs="仿宋_GB2312"/>
          <w:b/>
          <w:sz w:val="28"/>
        </w:rPr>
        <w:t>4-3、信用记录查询结果</w:t>
      </w:r>
    </w:p>
    <w:p w14:paraId="171EA139">
      <w:pPr>
        <w:pStyle w:val="10"/>
        <w:ind w:firstLine="480"/>
        <w:jc w:val="left"/>
      </w:pPr>
      <w:r>
        <w:rPr>
          <w:rFonts w:ascii="仿宋_GB2312" w:hAnsi="仿宋_GB2312" w:eastAsia="仿宋_GB2312" w:cs="仿宋_GB2312"/>
        </w:rPr>
        <w:t>1、由询价小组通过网站查询并打印供应商的信用记录。</w:t>
      </w:r>
    </w:p>
    <w:p w14:paraId="3BA5F6C3">
      <w:pPr>
        <w:pStyle w:val="10"/>
        <w:ind w:firstLine="480"/>
        <w:jc w:val="left"/>
      </w:pPr>
      <w:r>
        <w:rPr>
          <w:rFonts w:ascii="仿宋_GB2312" w:hAnsi="仿宋_GB2312" w:eastAsia="仿宋_GB2312" w:cs="仿宋_GB2312"/>
        </w:rPr>
        <w:t>2、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98FE2AE">
      <w:pPr>
        <w:pStyle w:val="10"/>
        <w:ind w:firstLine="480"/>
        <w:jc w:val="left"/>
      </w:pPr>
      <w:r>
        <w:rPr>
          <w:rFonts w:ascii="仿宋_GB2312" w:hAnsi="仿宋_GB2312" w:eastAsia="仿宋_GB2312" w:cs="仿宋_GB2312"/>
        </w:rPr>
        <w:t xml:space="preserve"> 3、供应商应了解投标人自身的信用记录情况。当供应商受到200万以上罚款的行政处罚且该罚款不属较大数额罚款时，供应商应在电子投标文件中提供此项罚款不属于较大数额罚款的依据（如提供：相关法律制度的规定、行政执法机构对该罚款不属于较大数额罚款的认定或者其他有效依据）。</w:t>
      </w:r>
    </w:p>
    <w:p w14:paraId="738373F2">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45D278">
      <w:pPr>
        <w:pStyle w:val="10"/>
        <w:jc w:val="center"/>
        <w:outlineLvl w:val="2"/>
      </w:pPr>
      <w:r>
        <w:rPr>
          <w:rFonts w:ascii="仿宋_GB2312" w:hAnsi="仿宋_GB2312" w:eastAsia="仿宋_GB2312" w:cs="仿宋_GB2312"/>
          <w:b/>
          <w:sz w:val="28"/>
        </w:rPr>
        <w:t>5、技术要求响应表</w:t>
      </w:r>
    </w:p>
    <w:p w14:paraId="599642B4">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2076"/>
        <w:gridCol w:w="2076"/>
        <w:gridCol w:w="2076"/>
      </w:tblGrid>
      <w:tr w14:paraId="4A5AC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EC9CF27">
            <w:pPr>
              <w:pStyle w:val="10"/>
              <w:jc w:val="center"/>
            </w:pPr>
            <w:r>
              <w:rPr>
                <w:rFonts w:ascii="仿宋_GB2312" w:hAnsi="仿宋_GB2312" w:eastAsia="仿宋_GB2312" w:cs="仿宋_GB2312"/>
              </w:rPr>
              <w:t>采购包</w:t>
            </w:r>
          </w:p>
        </w:tc>
        <w:tc>
          <w:tcPr>
            <w:tcW w:w="1038" w:type="dxa"/>
          </w:tcPr>
          <w:p w14:paraId="54559B43">
            <w:pPr>
              <w:pStyle w:val="10"/>
              <w:jc w:val="center"/>
            </w:pPr>
            <w:r>
              <w:rPr>
                <w:rFonts w:ascii="仿宋_GB2312" w:hAnsi="仿宋_GB2312" w:eastAsia="仿宋_GB2312" w:cs="仿宋_GB2312"/>
              </w:rPr>
              <w:t>品目号</w:t>
            </w:r>
          </w:p>
        </w:tc>
        <w:tc>
          <w:tcPr>
            <w:tcW w:w="2076" w:type="dxa"/>
          </w:tcPr>
          <w:p w14:paraId="3EB7E508">
            <w:pPr>
              <w:pStyle w:val="10"/>
              <w:jc w:val="center"/>
            </w:pPr>
            <w:r>
              <w:rPr>
                <w:rFonts w:ascii="仿宋_GB2312" w:hAnsi="仿宋_GB2312" w:eastAsia="仿宋_GB2312" w:cs="仿宋_GB2312"/>
              </w:rPr>
              <w:t>询价通知书要求</w:t>
            </w:r>
          </w:p>
        </w:tc>
        <w:tc>
          <w:tcPr>
            <w:tcW w:w="2076" w:type="dxa"/>
          </w:tcPr>
          <w:p w14:paraId="41DE466A">
            <w:pPr>
              <w:pStyle w:val="10"/>
              <w:jc w:val="center"/>
            </w:pPr>
            <w:r>
              <w:rPr>
                <w:rFonts w:ascii="仿宋_GB2312" w:hAnsi="仿宋_GB2312" w:eastAsia="仿宋_GB2312" w:cs="仿宋_GB2312"/>
              </w:rPr>
              <w:t>响应文件应答</w:t>
            </w:r>
          </w:p>
        </w:tc>
        <w:tc>
          <w:tcPr>
            <w:tcW w:w="2076" w:type="dxa"/>
          </w:tcPr>
          <w:p w14:paraId="619E6D12">
            <w:pPr>
              <w:pStyle w:val="10"/>
              <w:jc w:val="center"/>
            </w:pPr>
            <w:r>
              <w:rPr>
                <w:rFonts w:ascii="仿宋_GB2312" w:hAnsi="仿宋_GB2312" w:eastAsia="仿宋_GB2312" w:cs="仿宋_GB2312"/>
              </w:rPr>
              <w:t>是否偏离及说明</w:t>
            </w:r>
          </w:p>
        </w:tc>
      </w:tr>
      <w:tr w14:paraId="6D882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56E26EFE">
            <w:pPr>
              <w:pStyle w:val="10"/>
              <w:jc w:val="left"/>
            </w:pPr>
            <w:r>
              <w:rPr>
                <w:rFonts w:ascii="仿宋_GB2312" w:hAnsi="仿宋_GB2312" w:eastAsia="仿宋_GB2312" w:cs="仿宋_GB2312"/>
              </w:rPr>
              <w:t>*</w:t>
            </w:r>
          </w:p>
        </w:tc>
        <w:tc>
          <w:tcPr>
            <w:tcW w:w="1038" w:type="dxa"/>
          </w:tcPr>
          <w:p w14:paraId="3E220A99">
            <w:pPr>
              <w:pStyle w:val="10"/>
              <w:jc w:val="left"/>
            </w:pPr>
            <w:r>
              <w:rPr>
                <w:rFonts w:ascii="仿宋_GB2312" w:hAnsi="仿宋_GB2312" w:eastAsia="仿宋_GB2312" w:cs="仿宋_GB2312"/>
              </w:rPr>
              <w:t>*-1</w:t>
            </w:r>
          </w:p>
        </w:tc>
        <w:tc>
          <w:tcPr>
            <w:tcW w:w="2076" w:type="dxa"/>
          </w:tcPr>
          <w:p w14:paraId="282BF2E7">
            <w:pPr>
              <w:pStyle w:val="10"/>
              <w:jc w:val="left"/>
            </w:pPr>
          </w:p>
        </w:tc>
        <w:tc>
          <w:tcPr>
            <w:tcW w:w="2076" w:type="dxa"/>
          </w:tcPr>
          <w:p w14:paraId="5F4E2BDE"/>
        </w:tc>
        <w:tc>
          <w:tcPr>
            <w:tcW w:w="2076" w:type="dxa"/>
          </w:tcPr>
          <w:p w14:paraId="5EFCD10A"/>
        </w:tc>
      </w:tr>
      <w:tr w14:paraId="3076B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3224D9AD"/>
        </w:tc>
        <w:tc>
          <w:tcPr>
            <w:tcW w:w="1038" w:type="dxa"/>
          </w:tcPr>
          <w:p w14:paraId="62C53CA2">
            <w:pPr>
              <w:pStyle w:val="10"/>
              <w:jc w:val="left"/>
            </w:pPr>
            <w:r>
              <w:rPr>
                <w:rFonts w:ascii="仿宋_GB2312" w:hAnsi="仿宋_GB2312" w:eastAsia="仿宋_GB2312" w:cs="仿宋_GB2312"/>
              </w:rPr>
              <w:t>...</w:t>
            </w:r>
          </w:p>
        </w:tc>
        <w:tc>
          <w:tcPr>
            <w:tcW w:w="2076" w:type="dxa"/>
          </w:tcPr>
          <w:p w14:paraId="42FD0545"/>
        </w:tc>
        <w:tc>
          <w:tcPr>
            <w:tcW w:w="2076" w:type="dxa"/>
          </w:tcPr>
          <w:p w14:paraId="2B74283E"/>
        </w:tc>
        <w:tc>
          <w:tcPr>
            <w:tcW w:w="2076" w:type="dxa"/>
          </w:tcPr>
          <w:p w14:paraId="10C59F92"/>
        </w:tc>
      </w:tr>
      <w:tr w14:paraId="68ECC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D036F8">
            <w:pPr>
              <w:pStyle w:val="10"/>
              <w:jc w:val="left"/>
            </w:pPr>
            <w:r>
              <w:rPr>
                <w:rFonts w:ascii="仿宋_GB2312" w:hAnsi="仿宋_GB2312" w:eastAsia="仿宋_GB2312" w:cs="仿宋_GB2312"/>
              </w:rPr>
              <w:t>...</w:t>
            </w:r>
          </w:p>
        </w:tc>
        <w:tc>
          <w:tcPr>
            <w:tcW w:w="1038" w:type="dxa"/>
          </w:tcPr>
          <w:p w14:paraId="573F6B2F"/>
        </w:tc>
        <w:tc>
          <w:tcPr>
            <w:tcW w:w="2076" w:type="dxa"/>
          </w:tcPr>
          <w:p w14:paraId="6260FE31"/>
        </w:tc>
        <w:tc>
          <w:tcPr>
            <w:tcW w:w="2076" w:type="dxa"/>
          </w:tcPr>
          <w:p w14:paraId="34DE53F2"/>
        </w:tc>
        <w:tc>
          <w:tcPr>
            <w:tcW w:w="2076" w:type="dxa"/>
          </w:tcPr>
          <w:p w14:paraId="2A76EEFC"/>
        </w:tc>
      </w:tr>
    </w:tbl>
    <w:p w14:paraId="48A3A317">
      <w:pPr>
        <w:pStyle w:val="10"/>
        <w:ind w:firstLine="480"/>
        <w:jc w:val="left"/>
      </w:pPr>
      <w:r>
        <w:rPr>
          <w:rFonts w:ascii="仿宋_GB2312" w:hAnsi="仿宋_GB2312" w:eastAsia="仿宋_GB2312" w:cs="仿宋_GB2312"/>
        </w:rPr>
        <w:t>※注意：</w:t>
      </w:r>
    </w:p>
    <w:p w14:paraId="5FD3651E">
      <w:pPr>
        <w:pStyle w:val="10"/>
        <w:ind w:firstLine="480"/>
        <w:jc w:val="left"/>
      </w:pPr>
      <w:r>
        <w:rPr>
          <w:rFonts w:ascii="仿宋_GB2312" w:hAnsi="仿宋_GB2312" w:eastAsia="仿宋_GB2312" w:cs="仿宋_GB2312"/>
        </w:rPr>
        <w:t>1、供应商应在“询价通知书要求” “响应文件应答”中按询价通知书第四章的内容逐项详细对应应答。</w:t>
      </w:r>
    </w:p>
    <w:p w14:paraId="433FC64F">
      <w:pPr>
        <w:pStyle w:val="10"/>
        <w:ind w:firstLine="480"/>
        <w:jc w:val="left"/>
      </w:pPr>
      <w:r>
        <w:rPr>
          <w:rFonts w:ascii="仿宋_GB2312" w:hAnsi="仿宋_GB2312" w:eastAsia="仿宋_GB2312" w:cs="仿宋_GB2312"/>
        </w:rPr>
        <w:t>2、对询价通知书关于“大于（或小于）等于”等某个区间值范围内的内容，报价响应应填写具体的数值，但技术指标只能以范围作响应的除外。</w:t>
      </w:r>
    </w:p>
    <w:p w14:paraId="38105E67">
      <w:pPr>
        <w:pStyle w:val="10"/>
        <w:ind w:firstLine="480"/>
        <w:jc w:val="left"/>
      </w:pPr>
      <w:r>
        <w:rPr>
          <w:rFonts w:ascii="仿宋_GB2312" w:hAnsi="仿宋_GB2312" w:eastAsia="仿宋_GB2312" w:cs="仿宋_GB2312"/>
        </w:rPr>
        <w:t>3、“是否偏离及说明”项下应按下列规定填写：优于的，填写“正偏离”；符合的，填写“无偏离”；低于的，填写“负偏离”。</w:t>
      </w:r>
    </w:p>
    <w:p w14:paraId="571BF7EC">
      <w:pPr>
        <w:pStyle w:val="10"/>
        <w:ind w:firstLine="480"/>
        <w:jc w:val="left"/>
      </w:pPr>
      <w:r>
        <w:rPr>
          <w:rFonts w:ascii="仿宋_GB2312" w:hAnsi="仿宋_GB2312" w:eastAsia="仿宋_GB2312" w:cs="仿宋_GB2312"/>
        </w:rPr>
        <w:t>4、若需要说明的内容因询价通知书中的格式特殊或需特殊表达的，可另页应答。</w:t>
      </w:r>
      <w:r>
        <w:br w:type="textWrapping"/>
      </w:r>
      <w:r>
        <w:br w:type="textWrapping"/>
      </w:r>
    </w:p>
    <w:p w14:paraId="77997E56">
      <w:pPr>
        <w:pStyle w:val="10"/>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0BE498A7">
      <w:pPr>
        <w:pStyle w:val="10"/>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40158D10">
      <w:pPr>
        <w:pStyle w:val="10"/>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2FFA5B38">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C2073A">
      <w:pPr>
        <w:pStyle w:val="10"/>
        <w:jc w:val="center"/>
        <w:outlineLvl w:val="2"/>
      </w:pPr>
      <w:r>
        <w:rPr>
          <w:rFonts w:ascii="仿宋_GB2312" w:hAnsi="仿宋_GB2312" w:eastAsia="仿宋_GB2312" w:cs="仿宋_GB2312"/>
          <w:b/>
          <w:sz w:val="28"/>
        </w:rPr>
        <w:t>6、商务条件响应表</w:t>
      </w:r>
    </w:p>
    <w:p w14:paraId="5B6E827E">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2076"/>
        <w:gridCol w:w="2076"/>
        <w:gridCol w:w="2076"/>
      </w:tblGrid>
      <w:tr w14:paraId="55F54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E496D9">
            <w:pPr>
              <w:pStyle w:val="10"/>
              <w:jc w:val="center"/>
            </w:pPr>
            <w:r>
              <w:rPr>
                <w:rFonts w:ascii="仿宋_GB2312" w:hAnsi="仿宋_GB2312" w:eastAsia="仿宋_GB2312" w:cs="仿宋_GB2312"/>
              </w:rPr>
              <w:t>采购包</w:t>
            </w:r>
          </w:p>
        </w:tc>
        <w:tc>
          <w:tcPr>
            <w:tcW w:w="1038" w:type="dxa"/>
          </w:tcPr>
          <w:p w14:paraId="6AD3711C">
            <w:pPr>
              <w:pStyle w:val="10"/>
              <w:jc w:val="center"/>
            </w:pPr>
            <w:r>
              <w:rPr>
                <w:rFonts w:ascii="仿宋_GB2312" w:hAnsi="仿宋_GB2312" w:eastAsia="仿宋_GB2312" w:cs="仿宋_GB2312"/>
              </w:rPr>
              <w:t>品目号</w:t>
            </w:r>
          </w:p>
        </w:tc>
        <w:tc>
          <w:tcPr>
            <w:tcW w:w="2076" w:type="dxa"/>
          </w:tcPr>
          <w:p w14:paraId="11B73789">
            <w:pPr>
              <w:pStyle w:val="10"/>
              <w:jc w:val="center"/>
            </w:pPr>
            <w:r>
              <w:rPr>
                <w:rFonts w:ascii="仿宋_GB2312" w:hAnsi="仿宋_GB2312" w:eastAsia="仿宋_GB2312" w:cs="仿宋_GB2312"/>
              </w:rPr>
              <w:t>询价通知书要求</w:t>
            </w:r>
          </w:p>
        </w:tc>
        <w:tc>
          <w:tcPr>
            <w:tcW w:w="2076" w:type="dxa"/>
          </w:tcPr>
          <w:p w14:paraId="057CEB16">
            <w:pPr>
              <w:pStyle w:val="10"/>
              <w:jc w:val="center"/>
            </w:pPr>
            <w:r>
              <w:rPr>
                <w:rFonts w:ascii="仿宋_GB2312" w:hAnsi="仿宋_GB2312" w:eastAsia="仿宋_GB2312" w:cs="仿宋_GB2312"/>
              </w:rPr>
              <w:t>响应文件应答</w:t>
            </w:r>
          </w:p>
        </w:tc>
        <w:tc>
          <w:tcPr>
            <w:tcW w:w="2076" w:type="dxa"/>
          </w:tcPr>
          <w:p w14:paraId="592C7886">
            <w:pPr>
              <w:pStyle w:val="10"/>
              <w:jc w:val="center"/>
            </w:pPr>
            <w:r>
              <w:rPr>
                <w:rFonts w:ascii="仿宋_GB2312" w:hAnsi="仿宋_GB2312" w:eastAsia="仿宋_GB2312" w:cs="仿宋_GB2312"/>
              </w:rPr>
              <w:t>是否偏离及说明</w:t>
            </w:r>
          </w:p>
        </w:tc>
      </w:tr>
      <w:tr w14:paraId="4F5E6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5A495F8A">
            <w:pPr>
              <w:pStyle w:val="10"/>
              <w:jc w:val="left"/>
            </w:pPr>
            <w:r>
              <w:rPr>
                <w:rFonts w:ascii="仿宋_GB2312" w:hAnsi="仿宋_GB2312" w:eastAsia="仿宋_GB2312" w:cs="仿宋_GB2312"/>
              </w:rPr>
              <w:t>*</w:t>
            </w:r>
          </w:p>
        </w:tc>
        <w:tc>
          <w:tcPr>
            <w:tcW w:w="1038" w:type="dxa"/>
          </w:tcPr>
          <w:p w14:paraId="359E642C">
            <w:pPr>
              <w:pStyle w:val="10"/>
              <w:jc w:val="left"/>
            </w:pPr>
            <w:r>
              <w:rPr>
                <w:rFonts w:ascii="仿宋_GB2312" w:hAnsi="仿宋_GB2312" w:eastAsia="仿宋_GB2312" w:cs="仿宋_GB2312"/>
              </w:rPr>
              <w:t>*-1</w:t>
            </w:r>
          </w:p>
        </w:tc>
        <w:tc>
          <w:tcPr>
            <w:tcW w:w="2076" w:type="dxa"/>
          </w:tcPr>
          <w:p w14:paraId="61CFB215">
            <w:pPr>
              <w:pStyle w:val="10"/>
              <w:jc w:val="left"/>
            </w:pPr>
          </w:p>
        </w:tc>
        <w:tc>
          <w:tcPr>
            <w:tcW w:w="2076" w:type="dxa"/>
          </w:tcPr>
          <w:p w14:paraId="45CB59AB"/>
        </w:tc>
        <w:tc>
          <w:tcPr>
            <w:tcW w:w="2076" w:type="dxa"/>
          </w:tcPr>
          <w:p w14:paraId="4C3475E2"/>
        </w:tc>
      </w:tr>
      <w:tr w14:paraId="501C1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1AF83C57"/>
        </w:tc>
        <w:tc>
          <w:tcPr>
            <w:tcW w:w="1038" w:type="dxa"/>
          </w:tcPr>
          <w:p w14:paraId="7EAC8098">
            <w:pPr>
              <w:pStyle w:val="10"/>
              <w:jc w:val="left"/>
            </w:pPr>
            <w:r>
              <w:rPr>
                <w:rFonts w:ascii="仿宋_GB2312" w:hAnsi="仿宋_GB2312" w:eastAsia="仿宋_GB2312" w:cs="仿宋_GB2312"/>
              </w:rPr>
              <w:t>...</w:t>
            </w:r>
          </w:p>
        </w:tc>
        <w:tc>
          <w:tcPr>
            <w:tcW w:w="2076" w:type="dxa"/>
          </w:tcPr>
          <w:p w14:paraId="1CF9E69E"/>
        </w:tc>
        <w:tc>
          <w:tcPr>
            <w:tcW w:w="2076" w:type="dxa"/>
          </w:tcPr>
          <w:p w14:paraId="2858BF2F"/>
        </w:tc>
        <w:tc>
          <w:tcPr>
            <w:tcW w:w="2076" w:type="dxa"/>
          </w:tcPr>
          <w:p w14:paraId="4FE97118"/>
        </w:tc>
      </w:tr>
      <w:tr w14:paraId="23003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54E38CC">
            <w:pPr>
              <w:pStyle w:val="10"/>
              <w:jc w:val="left"/>
            </w:pPr>
            <w:r>
              <w:rPr>
                <w:rFonts w:ascii="仿宋_GB2312" w:hAnsi="仿宋_GB2312" w:eastAsia="仿宋_GB2312" w:cs="仿宋_GB2312"/>
              </w:rPr>
              <w:t>...</w:t>
            </w:r>
          </w:p>
        </w:tc>
        <w:tc>
          <w:tcPr>
            <w:tcW w:w="1038" w:type="dxa"/>
          </w:tcPr>
          <w:p w14:paraId="1F98734A"/>
        </w:tc>
        <w:tc>
          <w:tcPr>
            <w:tcW w:w="2076" w:type="dxa"/>
          </w:tcPr>
          <w:p w14:paraId="3CFEDF54"/>
        </w:tc>
        <w:tc>
          <w:tcPr>
            <w:tcW w:w="2076" w:type="dxa"/>
          </w:tcPr>
          <w:p w14:paraId="65097C04"/>
        </w:tc>
        <w:tc>
          <w:tcPr>
            <w:tcW w:w="2076" w:type="dxa"/>
          </w:tcPr>
          <w:p w14:paraId="4D7F47F0"/>
        </w:tc>
      </w:tr>
    </w:tbl>
    <w:p w14:paraId="18AACF10">
      <w:pPr>
        <w:pStyle w:val="10"/>
        <w:ind w:firstLine="480"/>
        <w:jc w:val="left"/>
      </w:pPr>
      <w:r>
        <w:rPr>
          <w:rFonts w:ascii="仿宋_GB2312" w:hAnsi="仿宋_GB2312" w:eastAsia="仿宋_GB2312" w:cs="仿宋_GB2312"/>
        </w:rPr>
        <w:t>※注意：</w:t>
      </w:r>
    </w:p>
    <w:p w14:paraId="76AEE9A8">
      <w:pPr>
        <w:pStyle w:val="10"/>
        <w:ind w:firstLine="480"/>
        <w:jc w:val="left"/>
      </w:pPr>
      <w:r>
        <w:rPr>
          <w:rFonts w:ascii="仿宋_GB2312" w:hAnsi="仿宋_GB2312" w:eastAsia="仿宋_GB2312" w:cs="仿宋_GB2312"/>
        </w:rPr>
        <w:t>1、供应商应在“询价通知书要求” “响应文件应答”中按询价通知书第四章的内容逐项详细对应应答。</w:t>
      </w:r>
    </w:p>
    <w:p w14:paraId="4AB405EE">
      <w:pPr>
        <w:pStyle w:val="10"/>
        <w:ind w:firstLine="480"/>
        <w:jc w:val="left"/>
      </w:pPr>
      <w:r>
        <w:rPr>
          <w:rFonts w:ascii="仿宋_GB2312" w:hAnsi="仿宋_GB2312" w:eastAsia="仿宋_GB2312" w:cs="仿宋_GB2312"/>
        </w:rPr>
        <w:t>2、对询价通知书关于“大于（或小于）等于”等某个区间值范围内的内容，报价响应应填写具体的数值。</w:t>
      </w:r>
    </w:p>
    <w:p w14:paraId="6B7A5DA4">
      <w:pPr>
        <w:pStyle w:val="10"/>
        <w:ind w:firstLine="480"/>
        <w:jc w:val="left"/>
      </w:pPr>
      <w:r>
        <w:rPr>
          <w:rFonts w:ascii="仿宋_GB2312" w:hAnsi="仿宋_GB2312" w:eastAsia="仿宋_GB2312" w:cs="仿宋_GB2312"/>
        </w:rPr>
        <w:t>3“是否偏离及说明”项下应按下列规定填写：优于的，填写“正偏离”；符合的，填写“无偏离”；低于的，填写“负偏离”。</w:t>
      </w:r>
    </w:p>
    <w:p w14:paraId="32B2BADB">
      <w:pPr>
        <w:pStyle w:val="10"/>
        <w:ind w:firstLine="480"/>
        <w:jc w:val="left"/>
      </w:pPr>
      <w:r>
        <w:rPr>
          <w:rFonts w:ascii="仿宋_GB2312" w:hAnsi="仿宋_GB2312" w:eastAsia="仿宋_GB2312" w:cs="仿宋_GB2312"/>
        </w:rPr>
        <w:t>4、若需要说明的内容因询价通知书中的格式特殊或需特殊表达的，可另页应答。</w:t>
      </w:r>
      <w:r>
        <w:br w:type="textWrapping"/>
      </w:r>
      <w:r>
        <w:br w:type="textWrapping"/>
      </w:r>
    </w:p>
    <w:p w14:paraId="7EB6FA7D">
      <w:pPr>
        <w:pStyle w:val="10"/>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6A7069B7">
      <w:pPr>
        <w:pStyle w:val="10"/>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051E1993">
      <w:pPr>
        <w:pStyle w:val="10"/>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57EB3208">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599FE3">
      <w:pPr>
        <w:pStyle w:val="10"/>
        <w:jc w:val="center"/>
        <w:outlineLvl w:val="2"/>
      </w:pPr>
      <w:r>
        <w:rPr>
          <w:rFonts w:ascii="仿宋_GB2312" w:hAnsi="仿宋_GB2312" w:eastAsia="仿宋_GB2312" w:cs="仿宋_GB2312"/>
          <w:b/>
          <w:sz w:val="28"/>
        </w:rPr>
        <w:t>7、提供政府采购政策产品等证明材料</w:t>
      </w:r>
    </w:p>
    <w:p w14:paraId="24A1356B">
      <w:pPr>
        <w:pStyle w:val="10"/>
        <w:jc w:val="center"/>
        <w:outlineLvl w:val="2"/>
      </w:pPr>
      <w:r>
        <w:rPr>
          <w:rFonts w:ascii="仿宋_GB2312" w:hAnsi="仿宋_GB2312" w:eastAsia="仿宋_GB2312" w:cs="仿宋_GB2312"/>
          <w:b/>
          <w:sz w:val="28"/>
        </w:rPr>
        <w:t>7-1、优先类节能产品、环境标志产品统计表</w:t>
      </w:r>
    </w:p>
    <w:p w14:paraId="4BB9DEF2">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D712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4FA6F6E"/>
        </w:tc>
        <w:tc>
          <w:tcPr>
            <w:tcW w:w="7122" w:type="dxa"/>
            <w:gridSpan w:val="4"/>
          </w:tcPr>
          <w:p w14:paraId="1C6B2838">
            <w:pPr>
              <w:pStyle w:val="10"/>
              <w:jc w:val="center"/>
            </w:pPr>
            <w:r>
              <w:rPr>
                <w:rFonts w:ascii="仿宋_GB2312" w:hAnsi="仿宋_GB2312" w:eastAsia="仿宋_GB2312" w:cs="仿宋_GB2312"/>
              </w:rPr>
              <w:t>本采购包内属于节能、环境标志产品情况</w:t>
            </w:r>
          </w:p>
        </w:tc>
      </w:tr>
      <w:tr w14:paraId="69DB5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6594F47">
            <w:pPr>
              <w:pStyle w:val="10"/>
              <w:jc w:val="left"/>
            </w:pPr>
            <w:r>
              <w:rPr>
                <w:rFonts w:ascii="仿宋_GB2312" w:hAnsi="仿宋_GB2312" w:eastAsia="仿宋_GB2312" w:cs="仿宋_GB2312"/>
              </w:rPr>
              <w:t>采购包</w:t>
            </w:r>
          </w:p>
        </w:tc>
        <w:tc>
          <w:tcPr>
            <w:tcW w:w="1187" w:type="dxa"/>
          </w:tcPr>
          <w:p w14:paraId="66EC6B6B">
            <w:pPr>
              <w:pStyle w:val="10"/>
              <w:jc w:val="left"/>
            </w:pPr>
            <w:r>
              <w:rPr>
                <w:rFonts w:ascii="仿宋_GB2312" w:hAnsi="仿宋_GB2312" w:eastAsia="仿宋_GB2312" w:cs="仿宋_GB2312"/>
              </w:rPr>
              <w:t>品目号</w:t>
            </w:r>
          </w:p>
        </w:tc>
        <w:tc>
          <w:tcPr>
            <w:tcW w:w="1187" w:type="dxa"/>
          </w:tcPr>
          <w:p w14:paraId="7181D91E">
            <w:pPr>
              <w:pStyle w:val="10"/>
              <w:jc w:val="left"/>
            </w:pPr>
            <w:r>
              <w:rPr>
                <w:rFonts w:ascii="仿宋_GB2312" w:hAnsi="仿宋_GB2312" w:eastAsia="仿宋_GB2312" w:cs="仿宋_GB2312"/>
              </w:rPr>
              <w:t>产品名称</w:t>
            </w:r>
          </w:p>
        </w:tc>
        <w:tc>
          <w:tcPr>
            <w:tcW w:w="1187" w:type="dxa"/>
          </w:tcPr>
          <w:p w14:paraId="7B6E3587">
            <w:pPr>
              <w:pStyle w:val="10"/>
              <w:jc w:val="left"/>
            </w:pPr>
            <w:r>
              <w:rPr>
                <w:rFonts w:ascii="仿宋_GB2312" w:hAnsi="仿宋_GB2312" w:eastAsia="仿宋_GB2312" w:cs="仿宋_GB2312"/>
              </w:rPr>
              <w:t>认证种类</w:t>
            </w:r>
          </w:p>
        </w:tc>
      </w:tr>
      <w:tr w14:paraId="3C6A0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9410556">
            <w:pPr>
              <w:pStyle w:val="10"/>
              <w:jc w:val="left"/>
            </w:pPr>
            <w:r>
              <w:rPr>
                <w:rFonts w:ascii="仿宋_GB2312" w:hAnsi="仿宋_GB2312" w:eastAsia="仿宋_GB2312" w:cs="仿宋_GB2312"/>
              </w:rPr>
              <w:t>*</w:t>
            </w:r>
          </w:p>
        </w:tc>
        <w:tc>
          <w:tcPr>
            <w:tcW w:w="1187" w:type="dxa"/>
          </w:tcPr>
          <w:p w14:paraId="7F1BDCF5">
            <w:pPr>
              <w:pStyle w:val="10"/>
              <w:jc w:val="left"/>
            </w:pPr>
            <w:r>
              <w:rPr>
                <w:rFonts w:ascii="仿宋_GB2312" w:hAnsi="仿宋_GB2312" w:eastAsia="仿宋_GB2312" w:cs="仿宋_GB2312"/>
              </w:rPr>
              <w:t>*-1</w:t>
            </w:r>
          </w:p>
        </w:tc>
        <w:tc>
          <w:tcPr>
            <w:tcW w:w="1187" w:type="dxa"/>
          </w:tcPr>
          <w:p w14:paraId="03CCCC87"/>
        </w:tc>
        <w:tc>
          <w:tcPr>
            <w:tcW w:w="1187" w:type="dxa"/>
          </w:tcPr>
          <w:p w14:paraId="35138401">
            <w:pPr>
              <w:pStyle w:val="10"/>
              <w:jc w:val="left"/>
            </w:pPr>
            <w:r>
              <w:rPr>
                <w:rFonts w:ascii="仿宋_GB2312" w:hAnsi="仿宋_GB2312" w:eastAsia="仿宋_GB2312" w:cs="仿宋_GB2312"/>
              </w:rPr>
              <w:t>供应商自行填写种类，并上传证明附件以便评审查看</w:t>
            </w:r>
          </w:p>
        </w:tc>
      </w:tr>
      <w:tr w14:paraId="37421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244D8AC"/>
        </w:tc>
        <w:tc>
          <w:tcPr>
            <w:tcW w:w="1187" w:type="dxa"/>
          </w:tcPr>
          <w:p w14:paraId="0FD5FCE7">
            <w:pPr>
              <w:pStyle w:val="10"/>
              <w:jc w:val="left"/>
            </w:pPr>
            <w:r>
              <w:rPr>
                <w:rFonts w:ascii="仿宋_GB2312" w:hAnsi="仿宋_GB2312" w:eastAsia="仿宋_GB2312" w:cs="仿宋_GB2312"/>
              </w:rPr>
              <w:t>…</w:t>
            </w:r>
          </w:p>
          <w:p w14:paraId="0E7E36AA">
            <w:pPr>
              <w:pStyle w:val="10"/>
              <w:jc w:val="left"/>
            </w:pPr>
          </w:p>
        </w:tc>
        <w:tc>
          <w:tcPr>
            <w:tcW w:w="1187" w:type="dxa"/>
          </w:tcPr>
          <w:p w14:paraId="0FF97F9E"/>
        </w:tc>
        <w:tc>
          <w:tcPr>
            <w:tcW w:w="1187" w:type="dxa"/>
          </w:tcPr>
          <w:p w14:paraId="695F5ACD"/>
        </w:tc>
      </w:tr>
      <w:tr w14:paraId="2706E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4ED510C">
            <w:pPr>
              <w:pStyle w:val="10"/>
              <w:jc w:val="left"/>
            </w:pPr>
            <w:r>
              <w:rPr>
                <w:rFonts w:ascii="仿宋_GB2312" w:hAnsi="仿宋_GB2312" w:eastAsia="仿宋_GB2312" w:cs="仿宋_GB2312"/>
              </w:rPr>
              <w:t>备注</w:t>
            </w:r>
          </w:p>
        </w:tc>
        <w:tc>
          <w:tcPr>
            <w:tcW w:w="3561" w:type="dxa"/>
            <w:gridSpan w:val="3"/>
          </w:tcPr>
          <w:p w14:paraId="5F3A6CFF">
            <w:pPr>
              <w:pStyle w:val="10"/>
              <w:jc w:val="left"/>
            </w:pPr>
          </w:p>
        </w:tc>
      </w:tr>
    </w:tbl>
    <w:p w14:paraId="799E8B06">
      <w:pPr>
        <w:pStyle w:val="10"/>
        <w:jc w:val="left"/>
      </w:pPr>
      <w:r>
        <w:rPr>
          <w:rFonts w:ascii="仿宋_GB2312" w:hAnsi="仿宋_GB2312" w:eastAsia="仿宋_GB2312" w:cs="仿宋_GB2312"/>
        </w:rPr>
        <w:t>※注意：</w:t>
      </w:r>
    </w:p>
    <w:p w14:paraId="4C868811">
      <w:pPr>
        <w:pStyle w:val="10"/>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E3FA309">
      <w:pPr>
        <w:pStyle w:val="10"/>
        <w:ind w:firstLine="480"/>
        <w:jc w:val="left"/>
      </w:pPr>
      <w:r>
        <w:rPr>
          <w:rFonts w:ascii="仿宋_GB2312" w:hAnsi="仿宋_GB2312" w:eastAsia="仿宋_GB2312" w:cs="仿宋_GB2312"/>
        </w:rPr>
        <w:t>2、本表以采购包为单位，不同采购包请分别填写；同一采购包请按照其品目号顺序分别填写。</w:t>
      </w:r>
    </w:p>
    <w:p w14:paraId="2D64E901">
      <w:pPr>
        <w:pStyle w:val="10"/>
        <w:ind w:firstLine="480"/>
        <w:jc w:val="left"/>
      </w:pPr>
      <w:r>
        <w:rPr>
          <w:rFonts w:ascii="仿宋_GB2312" w:hAnsi="仿宋_GB2312" w:eastAsia="仿宋_GB2312" w:cs="仿宋_GB2312"/>
        </w:rPr>
        <w:t>3、具体统计、计算：</w:t>
      </w:r>
    </w:p>
    <w:p w14:paraId="4858FA4B">
      <w:pPr>
        <w:pStyle w:val="10"/>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2D3F2023">
      <w:pPr>
        <w:pStyle w:val="10"/>
        <w:ind w:firstLine="480"/>
        <w:jc w:val="left"/>
      </w:pPr>
      <w:r>
        <w:rPr>
          <w:rFonts w:ascii="仿宋_GB2312" w:hAnsi="仿宋_GB2312" w:eastAsia="仿宋_GB2312" w:cs="仿宋_GB2312"/>
        </w:rPr>
        <w:t>3.2计算结果若除不尽，可四舍五入保留到小数点后两位。</w:t>
      </w:r>
    </w:p>
    <w:p w14:paraId="095F80DB">
      <w:pPr>
        <w:pStyle w:val="10"/>
        <w:ind w:firstLine="480"/>
        <w:jc w:val="left"/>
      </w:pPr>
      <w:r>
        <w:rPr>
          <w:rFonts w:ascii="仿宋_GB2312" w:hAnsi="仿宋_GB2312" w:eastAsia="仿宋_GB2312" w:cs="仿宋_GB2312"/>
        </w:rPr>
        <w:t>3.3投标人(供应商)按照采购文件要求认真统计、计算。</w:t>
      </w:r>
    </w:p>
    <w:p w14:paraId="2502E047">
      <w:pPr>
        <w:pStyle w:val="10"/>
        <w:ind w:firstLine="480"/>
        <w:jc w:val="left"/>
      </w:pPr>
      <w:r>
        <w:rPr>
          <w:rFonts w:ascii="仿宋_GB2312" w:hAnsi="仿宋_GB2312" w:eastAsia="仿宋_GB2312" w:cs="仿宋_GB2312"/>
        </w:rPr>
        <w:t>3.4若无节能、环境标志产品，不填写本表。</w:t>
      </w:r>
    </w:p>
    <w:p w14:paraId="6DBC5971">
      <w:pPr>
        <w:pStyle w:val="10"/>
        <w:ind w:firstLine="480"/>
        <w:jc w:val="left"/>
      </w:pPr>
      <w:r>
        <w:rPr>
          <w:rFonts w:ascii="仿宋_GB2312" w:hAnsi="仿宋_GB2312" w:eastAsia="仿宋_GB2312" w:cs="仿宋_GB2312"/>
        </w:rPr>
        <w:t>3.5强制类节能产品不享受价格扣除。</w:t>
      </w:r>
    </w:p>
    <w:p w14:paraId="4269DC4E">
      <w:pPr>
        <w:pStyle w:val="10"/>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022BD2CE">
      <w:pPr>
        <w:pStyle w:val="10"/>
        <w:ind w:firstLine="480"/>
        <w:jc w:val="left"/>
      </w:pPr>
      <w:r>
        <w:rPr>
          <w:rFonts w:ascii="仿宋_GB2312" w:hAnsi="仿宋_GB2312" w:eastAsia="仿宋_GB2312" w:cs="仿宋_GB2312"/>
        </w:rPr>
        <w:t>供应商代表签字：</w:t>
      </w:r>
    </w:p>
    <w:p w14:paraId="5D768F47">
      <w:pPr>
        <w:pStyle w:val="10"/>
        <w:ind w:firstLine="480"/>
        <w:jc w:val="left"/>
      </w:pPr>
      <w:r>
        <w:rPr>
          <w:rFonts w:ascii="仿宋_GB2312" w:hAnsi="仿宋_GB2312" w:eastAsia="仿宋_GB2312" w:cs="仿宋_GB2312"/>
        </w:rPr>
        <w:t>日期：年月日</w:t>
      </w:r>
      <w:r>
        <w:br w:type="textWrapping"/>
      </w:r>
      <w:r>
        <w:br w:type="textWrapping"/>
      </w:r>
    </w:p>
    <w:p w14:paraId="153E232F">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8ABE79">
      <w:pPr>
        <w:pStyle w:val="10"/>
        <w:jc w:val="center"/>
        <w:outlineLvl w:val="2"/>
      </w:pPr>
      <w:r>
        <w:rPr>
          <w:rFonts w:ascii="仿宋_GB2312" w:hAnsi="仿宋_GB2312" w:eastAsia="仿宋_GB2312" w:cs="仿宋_GB2312"/>
          <w:b/>
          <w:sz w:val="28"/>
        </w:rPr>
        <w:t>7-2、中小企业声明函</w:t>
      </w:r>
    </w:p>
    <w:p w14:paraId="5542D908">
      <w:pPr>
        <w:pStyle w:val="10"/>
        <w:ind w:firstLine="480"/>
        <w:jc w:val="center"/>
      </w:pPr>
      <w:r>
        <w:rPr>
          <w:rFonts w:ascii="仿宋_GB2312" w:hAnsi="仿宋_GB2312" w:eastAsia="仿宋_GB2312" w:cs="仿宋_GB2312"/>
        </w:rPr>
        <w:t>中小企业声明函（货物）</w:t>
      </w:r>
    </w:p>
    <w:p w14:paraId="01144B81">
      <w:pPr>
        <w:pStyle w:val="10"/>
        <w:ind w:firstLine="480"/>
        <w:jc w:val="left"/>
      </w:pPr>
      <w:r>
        <w:rPr>
          <w:rFonts w:ascii="仿宋_GB2312" w:hAnsi="仿宋_GB2312" w:eastAsia="仿宋_GB2312" w:cs="仿宋_GB2312"/>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2DB62795">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，从业人员人，营业收入为万元，资产总额为万元¹，属于</w:t>
      </w:r>
      <w:r>
        <w:rPr>
          <w:rFonts w:ascii="仿宋_GB2312" w:hAnsi="仿宋_GB2312" w:eastAsia="仿宋_GB2312" w:cs="仿宋_GB2312"/>
          <w:u w:val="single"/>
        </w:rPr>
        <w:t>（中型企业、小型企业、微型企业）；</w:t>
      </w:r>
    </w:p>
    <w:p w14:paraId="2F9AD74C">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，从业人员人，营业收入为万元，资产总额为万元，属于</w:t>
      </w:r>
      <w:r>
        <w:rPr>
          <w:rFonts w:ascii="仿宋_GB2312" w:hAnsi="仿宋_GB2312" w:eastAsia="仿宋_GB2312" w:cs="仿宋_GB2312"/>
          <w:u w:val="single"/>
        </w:rPr>
        <w:t>（中型企业、小型企业、微型企业）；</w:t>
      </w:r>
    </w:p>
    <w:p w14:paraId="5E80A818">
      <w:pPr>
        <w:pStyle w:val="10"/>
        <w:ind w:firstLine="480"/>
        <w:jc w:val="left"/>
      </w:pPr>
      <w:r>
        <w:rPr>
          <w:rFonts w:ascii="仿宋_GB2312" w:hAnsi="仿宋_GB2312" w:eastAsia="仿宋_GB2312" w:cs="仿宋_GB2312"/>
        </w:rPr>
        <w:t>……</w:t>
      </w:r>
    </w:p>
    <w:p w14:paraId="730CD985">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4ED3120">
      <w:pPr>
        <w:pStyle w:val="10"/>
        <w:ind w:firstLine="480"/>
        <w:jc w:val="left"/>
      </w:pPr>
      <w:r>
        <w:rPr>
          <w:rFonts w:ascii="仿宋_GB2312" w:hAnsi="仿宋_GB2312" w:eastAsia="仿宋_GB2312" w:cs="仿宋_GB2312"/>
        </w:rPr>
        <w:t>本企业对上述声明内容的真实性负责。如有虚假，将依法承担相应责任。</w:t>
      </w:r>
    </w:p>
    <w:p w14:paraId="44B93D8A">
      <w:pPr>
        <w:pStyle w:val="10"/>
        <w:ind w:firstLine="1440"/>
        <w:jc w:val="left"/>
      </w:pPr>
      <w:r>
        <w:rPr>
          <w:rFonts w:ascii="仿宋_GB2312" w:hAnsi="仿宋_GB2312" w:eastAsia="仿宋_GB2312" w:cs="仿宋_GB2312"/>
        </w:rPr>
        <w:t>企业名称（盖章）：</w:t>
      </w:r>
    </w:p>
    <w:p w14:paraId="1FFABD1D">
      <w:pPr>
        <w:pStyle w:val="10"/>
        <w:ind w:firstLine="1440"/>
        <w:jc w:val="left"/>
      </w:pPr>
      <w:r>
        <w:rPr>
          <w:rFonts w:ascii="仿宋_GB2312" w:hAnsi="仿宋_GB2312" w:eastAsia="仿宋_GB2312" w:cs="仿宋_GB2312"/>
        </w:rPr>
        <w:t>日期：</w:t>
      </w:r>
    </w:p>
    <w:p w14:paraId="7B2586CF">
      <w:pPr>
        <w:pStyle w:val="10"/>
        <w:ind w:firstLine="1440"/>
        <w:jc w:val="left"/>
      </w:pPr>
      <w:r>
        <w:rPr>
          <w:rFonts w:ascii="仿宋_GB2312" w:hAnsi="仿宋_GB2312" w:eastAsia="仿宋_GB2312" w:cs="仿宋_GB2312"/>
        </w:rPr>
        <w:t>※注意：</w:t>
      </w:r>
    </w:p>
    <w:p w14:paraId="2CD76258">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3F36EE7C">
      <w:pPr>
        <w:pStyle w:val="10"/>
        <w:ind w:firstLine="480"/>
        <w:jc w:val="left"/>
      </w:pPr>
      <w:r>
        <w:rPr>
          <w:rFonts w:ascii="仿宋_GB2312" w:hAnsi="仿宋_GB2312" w:eastAsia="仿宋_GB2312" w:cs="仿宋_GB2312"/>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45A3C3E">
      <w:pPr>
        <w:pStyle w:val="10"/>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3EE13ED2">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B90664">
      <w:pPr>
        <w:pStyle w:val="10"/>
        <w:jc w:val="center"/>
        <w:outlineLvl w:val="2"/>
      </w:pPr>
      <w:r>
        <w:rPr>
          <w:rFonts w:ascii="仿宋_GB2312" w:hAnsi="仿宋_GB2312" w:eastAsia="仿宋_GB2312" w:cs="仿宋_GB2312"/>
          <w:b/>
          <w:sz w:val="28"/>
        </w:rPr>
        <w:t>中小企业声明函（工程、服务）</w:t>
      </w:r>
    </w:p>
    <w:p w14:paraId="4FDFC0EF">
      <w:pPr>
        <w:pStyle w:val="10"/>
        <w:ind w:firstLine="480"/>
        <w:jc w:val="left"/>
      </w:pPr>
      <w:r>
        <w:rPr>
          <w:rFonts w:ascii="仿宋_GB2312" w:hAnsi="仿宋_GB2312" w:eastAsia="仿宋_GB2312" w:cs="仿宋_GB2312"/>
        </w:rPr>
        <w:t xml:space="preserve"> 本公司（联合体）郑重声明，根据《政府采购促进中小企业发展管理办法》（财库﹝2020﹞46号）的规定，本公司（联合体）参加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6541D93">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p>
    <w:p w14:paraId="6AD62023">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br w:type="textWrapping"/>
      </w:r>
      <w:r>
        <w:br w:type="textWrapping"/>
      </w:r>
    </w:p>
    <w:p w14:paraId="783C28E1">
      <w:pPr>
        <w:pStyle w:val="10"/>
        <w:ind w:firstLine="480"/>
        <w:jc w:val="left"/>
      </w:pPr>
      <w:r>
        <w:rPr>
          <w:rFonts w:ascii="仿宋_GB2312" w:hAnsi="仿宋_GB2312" w:eastAsia="仿宋_GB2312" w:cs="仿宋_GB2312"/>
        </w:rPr>
        <w:t>……</w:t>
      </w:r>
      <w:r>
        <w:br w:type="textWrapping"/>
      </w:r>
      <w:r>
        <w:br w:type="textWrapping"/>
      </w:r>
    </w:p>
    <w:p w14:paraId="1F0A5328">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987C378">
      <w:pPr>
        <w:pStyle w:val="10"/>
        <w:ind w:firstLine="480"/>
        <w:jc w:val="left"/>
      </w:pPr>
      <w:r>
        <w:rPr>
          <w:rFonts w:ascii="仿宋_GB2312" w:hAnsi="仿宋_GB2312" w:eastAsia="仿宋_GB2312" w:cs="仿宋_GB2312"/>
        </w:rPr>
        <w:t>本企业对上述声明内容的真实性负责。如有虚假，将依法承担相应责任。</w:t>
      </w:r>
      <w:r>
        <w:br w:type="textWrapping"/>
      </w:r>
      <w:r>
        <w:br w:type="textWrapping"/>
      </w:r>
    </w:p>
    <w:p w14:paraId="3CEC9141">
      <w:pPr>
        <w:pStyle w:val="10"/>
        <w:ind w:firstLine="1440"/>
        <w:jc w:val="left"/>
      </w:pPr>
      <w:r>
        <w:rPr>
          <w:rFonts w:ascii="仿宋_GB2312" w:hAnsi="仿宋_GB2312" w:eastAsia="仿宋_GB2312" w:cs="仿宋_GB2312"/>
        </w:rPr>
        <w:t>企业名称（盖章）：</w:t>
      </w:r>
    </w:p>
    <w:p w14:paraId="34FCBF09">
      <w:pPr>
        <w:pStyle w:val="10"/>
        <w:ind w:firstLine="144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p>
    <w:p w14:paraId="0FD83E0F">
      <w:pPr>
        <w:pStyle w:val="10"/>
        <w:ind w:firstLine="480"/>
        <w:jc w:val="left"/>
      </w:pPr>
      <w:r>
        <w:rPr>
          <w:rFonts w:ascii="仿宋_GB2312" w:hAnsi="仿宋_GB2312" w:eastAsia="仿宋_GB2312" w:cs="仿宋_GB2312"/>
        </w:rPr>
        <w:t>※注意：</w:t>
      </w:r>
    </w:p>
    <w:p w14:paraId="316166A4">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0F8C9E34">
      <w:pPr>
        <w:pStyle w:val="10"/>
        <w:ind w:firstLine="480"/>
        <w:jc w:val="left"/>
      </w:pPr>
      <w:r>
        <w:rPr>
          <w:rFonts w:ascii="仿宋_GB2312" w:hAnsi="仿宋_GB2312" w:eastAsia="仿宋_GB2312" w:cs="仿宋_GB2312"/>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54A290A">
      <w:pPr>
        <w:pStyle w:val="10"/>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371C4B54">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211252">
      <w:pPr>
        <w:pStyle w:val="10"/>
        <w:jc w:val="center"/>
      </w:pPr>
      <w:r>
        <w:rPr>
          <w:rFonts w:ascii="仿宋_GB2312" w:hAnsi="仿宋_GB2312" w:eastAsia="仿宋_GB2312" w:cs="仿宋_GB2312"/>
          <w:b/>
        </w:rPr>
        <w:t>7-3、残疾人福利性单位声明函</w:t>
      </w:r>
      <w:r>
        <w:br w:type="textWrapping"/>
      </w:r>
      <w:r>
        <w:br w:type="textWrapping"/>
      </w:r>
    </w:p>
    <w:p w14:paraId="41181503">
      <w:pPr>
        <w:pStyle w:val="10"/>
        <w:ind w:firstLine="480"/>
        <w:jc w:val="left"/>
      </w:pPr>
      <w:r>
        <w:rPr>
          <w:rFonts w:ascii="仿宋_GB2312" w:hAnsi="仿宋_GB2312" w:eastAsia="仿宋_GB2312" w:cs="仿宋_GB2312"/>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rPr>
        <w:t>（填写“项目名称”）</w:t>
      </w:r>
      <w:r>
        <w:rPr>
          <w:rFonts w:ascii="仿宋_GB2312" w:hAnsi="仿宋_GB2312" w:eastAsia="仿宋_GB2312" w:cs="仿宋_GB2312"/>
        </w:rPr>
        <w:t>项目采购活动：</w:t>
      </w:r>
    </w:p>
    <w:p w14:paraId="4E4655EC">
      <w:pPr>
        <w:pStyle w:val="10"/>
        <w:ind w:firstLine="480"/>
        <w:jc w:val="left"/>
      </w:pPr>
      <w:r>
        <w:rPr>
          <w:rFonts w:ascii="仿宋_GB2312" w:hAnsi="仿宋_GB2312" w:eastAsia="仿宋_GB2312" w:cs="仿宋_GB2312"/>
        </w:rPr>
        <w:t>（ ）提供本供应商制造的</w:t>
      </w:r>
      <w:r>
        <w:rPr>
          <w:rFonts w:ascii="仿宋_GB2312" w:hAnsi="仿宋_GB2312" w:eastAsia="仿宋_GB2312" w:cs="仿宋_GB2312"/>
          <w:u w:val="single"/>
        </w:rPr>
        <w:t>（填写“所投采购包、品目号”）</w:t>
      </w:r>
      <w:r>
        <w:rPr>
          <w:rFonts w:ascii="仿宋_GB2312" w:hAnsi="仿宋_GB2312" w:eastAsia="仿宋_GB2312" w:cs="仿宋_GB2312"/>
        </w:rPr>
        <w:t>货物，或提供其他残疾人福利性单位制造的</w:t>
      </w:r>
      <w:r>
        <w:rPr>
          <w:rFonts w:ascii="仿宋_GB2312" w:hAnsi="仿宋_GB2312" w:eastAsia="仿宋_GB2312" w:cs="仿宋_GB2312"/>
          <w:u w:val="single"/>
        </w:rPr>
        <w:t>（填写“所投采购包、品目号”）</w:t>
      </w:r>
      <w:r>
        <w:rPr>
          <w:rFonts w:ascii="仿宋_GB2312" w:hAnsi="仿宋_GB2312" w:eastAsia="仿宋_GB2312" w:cs="仿宋_GB2312"/>
        </w:rPr>
        <w:t>货物（不包括使用非残疾人福利性单位注册商标的货物）。（说明：只有部分货物由残疾人福利企业制造的，在该货物后标★）</w:t>
      </w:r>
    </w:p>
    <w:p w14:paraId="74E9A37F">
      <w:pPr>
        <w:pStyle w:val="10"/>
        <w:ind w:firstLine="480"/>
        <w:jc w:val="left"/>
      </w:pPr>
      <w:r>
        <w:rPr>
          <w:rFonts w:ascii="仿宋_GB2312" w:hAnsi="仿宋_GB2312" w:eastAsia="仿宋_GB2312" w:cs="仿宋_GB2312"/>
        </w:rPr>
        <w:t>（ ）由本供应商承建的</w:t>
      </w:r>
      <w:r>
        <w:rPr>
          <w:rFonts w:ascii="仿宋_GB2312" w:hAnsi="仿宋_GB2312" w:eastAsia="仿宋_GB2312" w:cs="仿宋_GB2312"/>
          <w:u w:val="single"/>
        </w:rPr>
        <w:t>（填写“所投采购包、品目号”）</w:t>
      </w:r>
      <w:r>
        <w:rPr>
          <w:rFonts w:ascii="仿宋_GB2312" w:hAnsi="仿宋_GB2312" w:eastAsia="仿宋_GB2312" w:cs="仿宋_GB2312"/>
        </w:rPr>
        <w:t>工程</w:t>
      </w:r>
    </w:p>
    <w:p w14:paraId="0921F408">
      <w:pPr>
        <w:pStyle w:val="10"/>
        <w:ind w:firstLine="480"/>
        <w:jc w:val="left"/>
      </w:pPr>
      <w:r>
        <w:rPr>
          <w:rFonts w:ascii="仿宋_GB2312" w:hAnsi="仿宋_GB2312" w:eastAsia="仿宋_GB2312" w:cs="仿宋_GB2312"/>
        </w:rPr>
        <w:t>（ ）由本供应商承接的</w:t>
      </w:r>
      <w:r>
        <w:rPr>
          <w:rFonts w:ascii="仿宋_GB2312" w:hAnsi="仿宋_GB2312" w:eastAsia="仿宋_GB2312" w:cs="仿宋_GB2312"/>
          <w:u w:val="single"/>
        </w:rPr>
        <w:t>（填写“所投采购包、品目号”）</w:t>
      </w:r>
      <w:r>
        <w:rPr>
          <w:rFonts w:ascii="仿宋_GB2312" w:hAnsi="仿宋_GB2312" w:eastAsia="仿宋_GB2312" w:cs="仿宋_GB2312"/>
        </w:rPr>
        <w:t>服务；</w:t>
      </w:r>
    </w:p>
    <w:p w14:paraId="019ACBA6">
      <w:pPr>
        <w:pStyle w:val="10"/>
        <w:ind w:firstLine="480"/>
        <w:jc w:val="left"/>
      </w:pPr>
      <w:r>
        <w:rPr>
          <w:rFonts w:ascii="仿宋_GB2312" w:hAnsi="仿宋_GB2312" w:eastAsia="仿宋_GB2312" w:cs="仿宋_GB2312"/>
        </w:rPr>
        <w:t>本供应商对上述声明的真实性负责。如有虚假，将依法承担相应责任。</w:t>
      </w:r>
      <w:r>
        <w:br w:type="textWrapping"/>
      </w:r>
    </w:p>
    <w:p w14:paraId="743131D5">
      <w:pPr>
        <w:pStyle w:val="10"/>
        <w:ind w:firstLine="480"/>
        <w:jc w:val="left"/>
      </w:pPr>
      <w:r>
        <w:rPr>
          <w:rFonts w:ascii="仿宋_GB2312" w:hAnsi="仿宋_GB2312" w:eastAsia="仿宋_GB2312" w:cs="仿宋_GB2312"/>
        </w:rPr>
        <w:t>备注：</w:t>
      </w:r>
    </w:p>
    <w:p w14:paraId="2978BACD">
      <w:pPr>
        <w:pStyle w:val="10"/>
        <w:ind w:firstLine="480"/>
        <w:jc w:val="left"/>
      </w:pPr>
      <w:r>
        <w:rPr>
          <w:rFonts w:ascii="仿宋_GB2312" w:hAnsi="仿宋_GB2312" w:eastAsia="仿宋_GB2312" w:cs="仿宋_GB2312"/>
        </w:rPr>
        <w:t>1、请供应商按照实际情况编制填写本声明函，并在相应的（）中打“√”。</w:t>
      </w:r>
    </w:p>
    <w:p w14:paraId="3F0EF998">
      <w:pPr>
        <w:pStyle w:val="10"/>
        <w:ind w:firstLine="480"/>
        <w:jc w:val="left"/>
      </w:pPr>
      <w:r>
        <w:rPr>
          <w:rFonts w:ascii="仿宋_GB2312" w:hAnsi="仿宋_GB2312" w:eastAsia="仿宋_GB2312" w:cs="仿宋_GB2312"/>
        </w:rPr>
        <w:t>2、纸质响应文件正本中的本声明函（若有）应为原件。</w:t>
      </w:r>
    </w:p>
    <w:p w14:paraId="62823968">
      <w:pPr>
        <w:pStyle w:val="10"/>
        <w:ind w:firstLine="480"/>
        <w:jc w:val="left"/>
      </w:pPr>
      <w:r>
        <w:rPr>
          <w:rFonts w:ascii="仿宋_GB2312" w:hAnsi="仿宋_GB2312" w:eastAsia="仿宋_GB2312" w:cs="仿宋_GB2312"/>
        </w:rPr>
        <w:t>3、若《残疾人福利性单位声明函》内容不真实，</w:t>
      </w:r>
      <w:r>
        <w:rPr>
          <w:rFonts w:ascii="仿宋_GB2312" w:hAnsi="仿宋_GB2312" w:eastAsia="仿宋_GB2312" w:cs="仿宋_GB2312"/>
          <w:b/>
        </w:rPr>
        <w:t>视为提供虚假材料。</w:t>
      </w:r>
      <w:r>
        <w:br w:type="textWrapping"/>
      </w:r>
      <w:r>
        <w:br w:type="textWrapping"/>
      </w:r>
    </w:p>
    <w:p w14:paraId="79D4690A">
      <w:pPr>
        <w:pStyle w:val="10"/>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0987AFAD">
      <w:pPr>
        <w:pStyle w:val="10"/>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5F9CA8E0">
      <w:pPr>
        <w:pStyle w:val="10"/>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71934DC0">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66B641">
      <w:pPr>
        <w:pStyle w:val="10"/>
        <w:jc w:val="center"/>
      </w:pPr>
      <w:r>
        <w:rPr>
          <w:rFonts w:ascii="仿宋_GB2312" w:hAnsi="仿宋_GB2312" w:eastAsia="仿宋_GB2312" w:cs="仿宋_GB2312"/>
          <w:b/>
        </w:rPr>
        <w:t>7.4、监狱企业证明材料</w:t>
      </w:r>
      <w:r>
        <w:br w:type="textWrapping"/>
      </w:r>
      <w:r>
        <w:br w:type="textWrapping"/>
      </w:r>
    </w:p>
    <w:p w14:paraId="1F83ACE1">
      <w:pPr>
        <w:pStyle w:val="10"/>
        <w:ind w:firstLine="480"/>
        <w:jc w:val="left"/>
      </w:pPr>
      <w:r>
        <w:rPr>
          <w:rFonts w:ascii="仿宋_GB2312" w:hAnsi="仿宋_GB2312" w:eastAsia="仿宋_GB2312" w:cs="仿宋_GB2312"/>
        </w:rPr>
        <w:t>供应商为监狱企业，提供本单位制造的货物（承接的服务），并在响应文件中提供省级以上监狱管理局、戒毒管理局（含新疆生产建设兵团）出具的属于监狱企业的证明文件。</w:t>
      </w:r>
    </w:p>
    <w:p w14:paraId="193F1B41">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80B79F">
      <w:pPr>
        <w:pStyle w:val="10"/>
        <w:jc w:val="center"/>
        <w:outlineLvl w:val="2"/>
      </w:pPr>
      <w:r>
        <w:rPr>
          <w:rFonts w:ascii="仿宋_GB2312" w:hAnsi="仿宋_GB2312" w:eastAsia="仿宋_GB2312" w:cs="仿宋_GB2312"/>
          <w:b/>
          <w:sz w:val="28"/>
        </w:rPr>
        <w:t>8、联合体协议（若有）</w:t>
      </w:r>
    </w:p>
    <w:p w14:paraId="7A632EA4">
      <w:pPr>
        <w:pStyle w:val="10"/>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 xml:space="preserve"> （采购人或采购代理机构）</w:t>
      </w:r>
    </w:p>
    <w:p w14:paraId="5CE42144">
      <w:pPr>
        <w:pStyle w:val="10"/>
        <w:ind w:firstLine="96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项目（项目编号：）的报价。现就联合体参加本项目报价的有关事宜达成下列协议：</w:t>
      </w:r>
    </w:p>
    <w:p w14:paraId="33337912">
      <w:pPr>
        <w:pStyle w:val="10"/>
        <w:ind w:firstLine="480"/>
        <w:jc w:val="left"/>
      </w:pPr>
      <w:r>
        <w:rPr>
          <w:rFonts w:ascii="仿宋_GB2312" w:hAnsi="仿宋_GB2312" w:eastAsia="仿宋_GB2312" w:cs="仿宋_GB2312"/>
        </w:rPr>
        <w:t>一、联合体各方应承担的工作和义务具体如下：</w:t>
      </w:r>
    </w:p>
    <w:p w14:paraId="60B8D99C">
      <w:pPr>
        <w:pStyle w:val="10"/>
        <w:ind w:firstLine="480"/>
        <w:jc w:val="left"/>
      </w:pPr>
      <w:r>
        <w:rPr>
          <w:rFonts w:ascii="仿宋_GB2312" w:hAnsi="仿宋_GB2312" w:eastAsia="仿宋_GB2312" w:cs="仿宋_GB2312"/>
        </w:rPr>
        <w:t>1、牵头方</w:t>
      </w:r>
      <w:r>
        <w:rPr>
          <w:rFonts w:ascii="仿宋_GB2312" w:hAnsi="仿宋_GB2312" w:eastAsia="仿宋_GB2312" w:cs="仿宋_GB2312"/>
          <w:u w:val="single"/>
        </w:rPr>
        <w:t>（全称）</w:t>
      </w:r>
      <w:r>
        <w:rPr>
          <w:rFonts w:ascii="仿宋_GB2312" w:hAnsi="仿宋_GB2312" w:eastAsia="仿宋_GB2312" w:cs="仿宋_GB2312"/>
        </w:rPr>
        <w:t>：</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3D859BE7">
      <w:pPr>
        <w:pStyle w:val="10"/>
        <w:ind w:firstLine="480"/>
        <w:jc w:val="left"/>
      </w:pPr>
      <w:r>
        <w:rPr>
          <w:rFonts w:ascii="仿宋_GB2312" w:hAnsi="仿宋_GB2312" w:eastAsia="仿宋_GB2312" w:cs="仿宋_GB2312"/>
        </w:rPr>
        <w:t>2、成员方：</w:t>
      </w:r>
    </w:p>
    <w:p w14:paraId="3F5EDB8A">
      <w:pPr>
        <w:pStyle w:val="10"/>
        <w:ind w:firstLine="480"/>
        <w:jc w:val="left"/>
      </w:pPr>
      <w:r>
        <w:rPr>
          <w:rFonts w:ascii="仿宋_GB2312" w:hAnsi="仿宋_GB2312" w:eastAsia="仿宋_GB2312" w:cs="仿宋_GB2312"/>
        </w:rPr>
        <w:t>2.1</w:t>
      </w:r>
      <w:r>
        <w:rPr>
          <w:rFonts w:ascii="仿宋_GB2312" w:hAnsi="仿宋_GB2312" w:eastAsia="仿宋_GB2312" w:cs="仿宋_GB2312"/>
          <w:u w:val="single"/>
        </w:rPr>
        <w:t>（成员一的全称）</w:t>
      </w:r>
      <w:r>
        <w:rPr>
          <w:rFonts w:ascii="仿宋_GB2312" w:hAnsi="仿宋_GB2312" w:eastAsia="仿宋_GB2312" w:cs="仿宋_GB2312"/>
        </w:rPr>
        <w:t>：</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4D61617C">
      <w:pPr>
        <w:pStyle w:val="10"/>
        <w:ind w:firstLine="480"/>
        <w:jc w:val="left"/>
      </w:pPr>
      <w:r>
        <w:rPr>
          <w:rFonts w:ascii="仿宋_GB2312" w:hAnsi="仿宋_GB2312" w:eastAsia="仿宋_GB2312" w:cs="仿宋_GB2312"/>
        </w:rPr>
        <w:t>……。</w:t>
      </w:r>
    </w:p>
    <w:p w14:paraId="077C7995">
      <w:pPr>
        <w:pStyle w:val="10"/>
        <w:ind w:firstLine="480"/>
        <w:jc w:val="left"/>
      </w:pPr>
      <w:r>
        <w:rPr>
          <w:rFonts w:ascii="仿宋_GB2312" w:hAnsi="仿宋_GB2312" w:eastAsia="仿宋_GB2312" w:cs="仿宋_GB2312"/>
        </w:rPr>
        <w:t>二、联合体各方的合同金额占比，具体如下：</w:t>
      </w:r>
    </w:p>
    <w:p w14:paraId="1D8C42ED">
      <w:pPr>
        <w:pStyle w:val="10"/>
        <w:ind w:firstLine="480"/>
        <w:jc w:val="left"/>
      </w:pPr>
      <w:r>
        <w:rPr>
          <w:rFonts w:ascii="仿宋_GB2312" w:hAnsi="仿宋_GB2312" w:eastAsia="仿宋_GB2312" w:cs="仿宋_GB2312"/>
        </w:rPr>
        <w:t>1.牵头方（全称）的合同金额占合同总额的＿%；</w:t>
      </w:r>
    </w:p>
    <w:p w14:paraId="63E70A73">
      <w:pPr>
        <w:pStyle w:val="10"/>
        <w:ind w:firstLine="480"/>
        <w:jc w:val="left"/>
      </w:pPr>
      <w:r>
        <w:rPr>
          <w:rFonts w:ascii="仿宋_GB2312" w:hAnsi="仿宋_GB2312" w:eastAsia="仿宋_GB2312" w:cs="仿宋_GB2312"/>
        </w:rPr>
        <w:t>2.成员方：</w:t>
      </w:r>
    </w:p>
    <w:p w14:paraId="02F4744C">
      <w:pPr>
        <w:pStyle w:val="10"/>
        <w:ind w:firstLine="480"/>
        <w:jc w:val="left"/>
      </w:pPr>
      <w:r>
        <w:rPr>
          <w:rFonts w:ascii="仿宋_GB2312" w:hAnsi="仿宋_GB2312" w:eastAsia="仿宋_GB2312" w:cs="仿宋_GB2312"/>
        </w:rPr>
        <w:t>2.1（成员1的全称）的合同金额占合同总额的＿%；</w:t>
      </w:r>
    </w:p>
    <w:p w14:paraId="4F382E19">
      <w:pPr>
        <w:pStyle w:val="10"/>
        <w:ind w:firstLine="480"/>
        <w:jc w:val="left"/>
      </w:pPr>
      <w:r>
        <w:rPr>
          <w:rFonts w:ascii="仿宋_GB2312" w:hAnsi="仿宋_GB2312" w:eastAsia="仿宋_GB2312" w:cs="仿宋_GB2312"/>
        </w:rPr>
        <w:t>......</w:t>
      </w:r>
    </w:p>
    <w:p w14:paraId="13413730">
      <w:pPr>
        <w:pStyle w:val="10"/>
        <w:ind w:firstLine="480"/>
        <w:jc w:val="left"/>
      </w:pPr>
      <w:r>
        <w:rPr>
          <w:rFonts w:ascii="仿宋_GB2312" w:hAnsi="仿宋_GB2312" w:eastAsia="仿宋_GB2312" w:cs="仿宋_GB2312"/>
        </w:rPr>
        <w:t>三、联合体各方约定由:</w:t>
      </w:r>
    </w:p>
    <w:p w14:paraId="2585C377">
      <w:pPr>
        <w:pStyle w:val="10"/>
        <w:ind w:firstLine="480"/>
        <w:jc w:val="left"/>
      </w:pPr>
      <w:r>
        <w:rPr>
          <w:rFonts w:ascii="仿宋_GB2312" w:hAnsi="仿宋_GB2312" w:eastAsia="仿宋_GB2312" w:cs="仿宋_GB2312"/>
        </w:rPr>
        <w:t>1、由（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FC4C0B0">
      <w:pPr>
        <w:pStyle w:val="10"/>
        <w:ind w:firstLine="480"/>
        <w:jc w:val="left"/>
      </w:pPr>
      <w:r>
        <w:rPr>
          <w:rFonts w:ascii="仿宋_GB2312" w:hAnsi="仿宋_GB2312" w:eastAsia="仿宋_GB2312" w:cs="仿宋_GB2312"/>
        </w:rPr>
        <w:t>2、联合体各方约定由（填写“牵头方的全称”）代表联合体办理投标保证金事宜。</w:t>
      </w:r>
    </w:p>
    <w:p w14:paraId="0854F1DC">
      <w:pPr>
        <w:pStyle w:val="10"/>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82168B2">
      <w:pPr>
        <w:pStyle w:val="10"/>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0833D31">
      <w:pPr>
        <w:pStyle w:val="10"/>
        <w:ind w:firstLine="480"/>
        <w:jc w:val="left"/>
      </w:pPr>
      <w:r>
        <w:rPr>
          <w:rFonts w:ascii="仿宋_GB2312" w:hAnsi="仿宋_GB2312" w:eastAsia="仿宋_GB2312" w:cs="仿宋_GB2312"/>
        </w:rPr>
        <w:t>五、本协议自签署之日起生效，政府采购合同履行完毕后自动失效。</w:t>
      </w:r>
    </w:p>
    <w:p w14:paraId="14843AD3">
      <w:pPr>
        <w:pStyle w:val="10"/>
        <w:ind w:firstLine="480"/>
        <w:jc w:val="left"/>
      </w:pPr>
      <w:r>
        <w:rPr>
          <w:rFonts w:ascii="仿宋_GB2312" w:hAnsi="仿宋_GB2312" w:eastAsia="仿宋_GB2312" w:cs="仿宋_GB2312"/>
        </w:rPr>
        <w:t>本协议一式（填写具体份数）份，联合体各方各执（填写具体份数）份，电子投标文件中提交（填写具体份数）份。。</w:t>
      </w:r>
    </w:p>
    <w:p w14:paraId="3DD86E89">
      <w:pPr>
        <w:pStyle w:val="10"/>
        <w:ind w:firstLine="480"/>
        <w:jc w:val="center"/>
      </w:pPr>
      <w:r>
        <w:rPr>
          <w:rFonts w:ascii="仿宋_GB2312" w:hAnsi="仿宋_GB2312" w:eastAsia="仿宋_GB2312" w:cs="仿宋_GB2312"/>
        </w:rPr>
        <w:t>（以下无正文）</w:t>
      </w:r>
    </w:p>
    <w:p w14:paraId="2620CC01">
      <w:pPr>
        <w:pStyle w:val="10"/>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55E19077">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（签字或盖章）</w:t>
      </w:r>
    </w:p>
    <w:p w14:paraId="70A0455A">
      <w:pPr>
        <w:pStyle w:val="10"/>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6C67E479">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（签字或盖章）</w:t>
      </w:r>
    </w:p>
    <w:p w14:paraId="2575F2BF">
      <w:pPr>
        <w:pStyle w:val="10"/>
        <w:ind w:firstLine="480"/>
        <w:jc w:val="left"/>
      </w:pPr>
      <w:r>
        <w:rPr>
          <w:rFonts w:ascii="仿宋_GB2312" w:hAnsi="仿宋_GB2312" w:eastAsia="仿宋_GB2312" w:cs="仿宋_GB2312"/>
        </w:rPr>
        <w:t>……</w:t>
      </w:r>
    </w:p>
    <w:p w14:paraId="41912BDB">
      <w:pPr>
        <w:pStyle w:val="10"/>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AC8963D">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（签字或盖章）</w:t>
      </w:r>
    </w:p>
    <w:p w14:paraId="6417B38D">
      <w:pPr>
        <w:pStyle w:val="10"/>
        <w:ind w:firstLine="480"/>
        <w:jc w:val="right"/>
      </w:pPr>
      <w:r>
        <w:rPr>
          <w:rFonts w:ascii="仿宋_GB2312" w:hAnsi="仿宋_GB2312" w:eastAsia="仿宋_GB2312" w:cs="仿宋_GB2312"/>
        </w:rPr>
        <w:t>签署日期：年月日</w:t>
      </w:r>
    </w:p>
    <w:p w14:paraId="71BA2635">
      <w:pPr>
        <w:pStyle w:val="10"/>
        <w:ind w:firstLine="480"/>
        <w:jc w:val="left"/>
      </w:pPr>
      <w:r>
        <w:rPr>
          <w:rFonts w:ascii="仿宋_GB2312" w:hAnsi="仿宋_GB2312" w:eastAsia="仿宋_GB2312" w:cs="仿宋_GB2312"/>
        </w:rPr>
        <w:t>※注意：</w:t>
      </w:r>
    </w:p>
    <w:p w14:paraId="5A350F4D">
      <w:pPr>
        <w:pStyle w:val="10"/>
        <w:ind w:firstLine="480"/>
        <w:jc w:val="left"/>
      </w:pPr>
      <w:r>
        <w:rPr>
          <w:rFonts w:ascii="仿宋_GB2312" w:hAnsi="仿宋_GB2312" w:eastAsia="仿宋_GB2312" w:cs="仿宋_GB2312"/>
        </w:rPr>
        <w:t>1、招标文件接受联合体投标且投标人为联合体的，投标人应提供本协议；否则无须提供。</w:t>
      </w:r>
    </w:p>
    <w:p w14:paraId="6CDE0FF7">
      <w:pPr>
        <w:pStyle w:val="10"/>
        <w:ind w:firstLine="480"/>
        <w:jc w:val="left"/>
      </w:pPr>
      <w:r>
        <w:rPr>
          <w:rFonts w:ascii="仿宋_GB2312" w:hAnsi="仿宋_GB2312" w:eastAsia="仿宋_GB2312" w:cs="仿宋_GB2312"/>
        </w:rPr>
        <w:t>2、本协议由委托代理人签字或盖章的，应按照本章载明的格式提供“单位负责人授权书”。</w:t>
      </w:r>
    </w:p>
    <w:p w14:paraId="6DD2D436">
      <w:pPr>
        <w:pStyle w:val="10"/>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3523309C">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3BC367">
      <w:pPr>
        <w:pStyle w:val="10"/>
        <w:jc w:val="center"/>
        <w:outlineLvl w:val="2"/>
      </w:pPr>
      <w:r>
        <w:rPr>
          <w:rFonts w:ascii="仿宋_GB2312" w:hAnsi="仿宋_GB2312" w:eastAsia="仿宋_GB2312" w:cs="仿宋_GB2312"/>
          <w:b/>
          <w:sz w:val="28"/>
        </w:rPr>
        <w:t>9、分包意向协议（若有）</w:t>
      </w:r>
    </w:p>
    <w:p w14:paraId="09825B49">
      <w:pPr>
        <w:pStyle w:val="10"/>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（即本项目的供应商）</w:t>
      </w:r>
    </w:p>
    <w:p w14:paraId="04C20836">
      <w:pPr>
        <w:pStyle w:val="10"/>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24F053E5">
      <w:pPr>
        <w:pStyle w:val="10"/>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768A9CE4">
      <w:pPr>
        <w:pStyle w:val="10"/>
        <w:ind w:firstLine="480"/>
        <w:jc w:val="left"/>
      </w:pPr>
      <w:r>
        <w:rPr>
          <w:rFonts w:ascii="仿宋_GB2312" w:hAnsi="仿宋_GB2312" w:eastAsia="仿宋_GB2312" w:cs="仿宋_GB2312"/>
        </w:rPr>
        <w:t>一、分包标的</w:t>
      </w:r>
    </w:p>
    <w:p w14:paraId="06AD9799">
      <w:pPr>
        <w:pStyle w:val="10"/>
        <w:ind w:firstLine="480"/>
        <w:jc w:val="left"/>
      </w:pPr>
      <w:r>
        <w:rPr>
          <w:rFonts w:ascii="仿宋_GB2312" w:hAnsi="仿宋_GB2312" w:eastAsia="仿宋_GB2312" w:cs="仿宋_GB2312"/>
          <w:u w:val="single"/>
        </w:rPr>
        <w:t>（根据双方的意向填写，可以是表格或文字描述）。</w:t>
      </w:r>
    </w:p>
    <w:p w14:paraId="199BBE45">
      <w:pPr>
        <w:pStyle w:val="10"/>
        <w:ind w:firstLine="480"/>
        <w:jc w:val="left"/>
      </w:pPr>
      <w:r>
        <w:rPr>
          <w:rFonts w:ascii="仿宋_GB2312" w:hAnsi="仿宋_GB2312" w:eastAsia="仿宋_GB2312" w:cs="仿宋_GB2312"/>
        </w:rPr>
        <w:t>二、分包合同金额占比</w:t>
      </w:r>
    </w:p>
    <w:p w14:paraId="5473D600">
      <w:pPr>
        <w:pStyle w:val="10"/>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17D72F4B">
      <w:pPr>
        <w:pStyle w:val="10"/>
        <w:ind w:firstLine="480"/>
        <w:jc w:val="left"/>
      </w:pPr>
      <w:r>
        <w:rPr>
          <w:rFonts w:ascii="仿宋_GB2312" w:hAnsi="仿宋_GB2312" w:eastAsia="仿宋_GB2312" w:cs="仿宋_GB2312"/>
        </w:rPr>
        <w:t>三、其他条款</w:t>
      </w:r>
    </w:p>
    <w:p w14:paraId="084BEF1E">
      <w:pPr>
        <w:pStyle w:val="10"/>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B35C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2CB910">
            <w:pPr>
              <w:pStyle w:val="10"/>
              <w:jc w:val="left"/>
            </w:pPr>
            <w:r>
              <w:rPr>
                <w:rFonts w:ascii="仿宋_GB2312" w:hAnsi="仿宋_GB2312" w:eastAsia="仿宋_GB2312" w:cs="仿宋_GB2312"/>
              </w:rPr>
              <w:t>甲方：</w:t>
            </w:r>
          </w:p>
        </w:tc>
        <w:tc>
          <w:tcPr>
            <w:tcW w:w="4153" w:type="dxa"/>
          </w:tcPr>
          <w:p w14:paraId="3465594E">
            <w:pPr>
              <w:pStyle w:val="10"/>
              <w:jc w:val="left"/>
            </w:pPr>
            <w:r>
              <w:rPr>
                <w:rFonts w:ascii="仿宋_GB2312" w:hAnsi="仿宋_GB2312" w:eastAsia="仿宋_GB2312" w:cs="仿宋_GB2312"/>
              </w:rPr>
              <w:t>乙方：</w:t>
            </w:r>
          </w:p>
        </w:tc>
      </w:tr>
      <w:tr w14:paraId="1CF14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50979E">
            <w:pPr>
              <w:pStyle w:val="10"/>
              <w:jc w:val="left"/>
            </w:pPr>
            <w:r>
              <w:rPr>
                <w:rFonts w:ascii="仿宋_GB2312" w:hAnsi="仿宋_GB2312" w:eastAsia="仿宋_GB2312" w:cs="仿宋_GB2312"/>
              </w:rPr>
              <w:t>住所：</w:t>
            </w:r>
          </w:p>
        </w:tc>
        <w:tc>
          <w:tcPr>
            <w:tcW w:w="4153" w:type="dxa"/>
          </w:tcPr>
          <w:p w14:paraId="64F0F577">
            <w:pPr>
              <w:pStyle w:val="10"/>
              <w:jc w:val="left"/>
            </w:pPr>
            <w:r>
              <w:rPr>
                <w:rFonts w:ascii="仿宋_GB2312" w:hAnsi="仿宋_GB2312" w:eastAsia="仿宋_GB2312" w:cs="仿宋_GB2312"/>
              </w:rPr>
              <w:t>住所：</w:t>
            </w:r>
          </w:p>
        </w:tc>
      </w:tr>
      <w:tr w14:paraId="6FA19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5A1E4A">
            <w:pPr>
              <w:pStyle w:val="10"/>
              <w:jc w:val="left"/>
            </w:pPr>
            <w:r>
              <w:rPr>
                <w:rFonts w:ascii="仿宋_GB2312" w:hAnsi="仿宋_GB2312" w:eastAsia="仿宋_GB2312" w:cs="仿宋_GB2312"/>
              </w:rPr>
              <w:t>单位负责人或委托代理人：</w:t>
            </w:r>
          </w:p>
        </w:tc>
        <w:tc>
          <w:tcPr>
            <w:tcW w:w="4153" w:type="dxa"/>
          </w:tcPr>
          <w:p w14:paraId="02102BB1">
            <w:pPr>
              <w:pStyle w:val="10"/>
              <w:jc w:val="left"/>
            </w:pPr>
            <w:r>
              <w:rPr>
                <w:rFonts w:ascii="仿宋_GB2312" w:hAnsi="仿宋_GB2312" w:eastAsia="仿宋_GB2312" w:cs="仿宋_GB2312"/>
              </w:rPr>
              <w:t>单位负责人或委托代理人：</w:t>
            </w:r>
          </w:p>
        </w:tc>
      </w:tr>
      <w:tr w14:paraId="202D3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7F337F">
            <w:pPr>
              <w:pStyle w:val="10"/>
              <w:jc w:val="left"/>
            </w:pPr>
            <w:r>
              <w:rPr>
                <w:rFonts w:ascii="仿宋_GB2312" w:hAnsi="仿宋_GB2312" w:eastAsia="仿宋_GB2312" w:cs="仿宋_GB2312"/>
              </w:rPr>
              <w:t>联系方法：</w:t>
            </w:r>
          </w:p>
        </w:tc>
        <w:tc>
          <w:tcPr>
            <w:tcW w:w="4153" w:type="dxa"/>
          </w:tcPr>
          <w:p w14:paraId="49986C81">
            <w:pPr>
              <w:pStyle w:val="10"/>
              <w:jc w:val="left"/>
            </w:pPr>
            <w:r>
              <w:rPr>
                <w:rFonts w:ascii="仿宋_GB2312" w:hAnsi="仿宋_GB2312" w:eastAsia="仿宋_GB2312" w:cs="仿宋_GB2312"/>
              </w:rPr>
              <w:t>联系方法：</w:t>
            </w:r>
          </w:p>
        </w:tc>
      </w:tr>
      <w:tr w14:paraId="59458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C8FDC2">
            <w:pPr>
              <w:pStyle w:val="10"/>
              <w:jc w:val="left"/>
            </w:pPr>
            <w:r>
              <w:rPr>
                <w:rFonts w:ascii="仿宋_GB2312" w:hAnsi="仿宋_GB2312" w:eastAsia="仿宋_GB2312" w:cs="仿宋_GB2312"/>
              </w:rPr>
              <w:t>开户银行：</w:t>
            </w:r>
          </w:p>
        </w:tc>
        <w:tc>
          <w:tcPr>
            <w:tcW w:w="4153" w:type="dxa"/>
          </w:tcPr>
          <w:p w14:paraId="76852FD3">
            <w:pPr>
              <w:pStyle w:val="10"/>
              <w:jc w:val="left"/>
            </w:pPr>
            <w:r>
              <w:rPr>
                <w:rFonts w:ascii="仿宋_GB2312" w:hAnsi="仿宋_GB2312" w:eastAsia="仿宋_GB2312" w:cs="仿宋_GB2312"/>
              </w:rPr>
              <w:t>开户银行：</w:t>
            </w:r>
          </w:p>
        </w:tc>
      </w:tr>
      <w:tr w14:paraId="28AD1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DAB2A9">
            <w:pPr>
              <w:pStyle w:val="10"/>
              <w:jc w:val="left"/>
            </w:pPr>
            <w:r>
              <w:rPr>
                <w:rFonts w:ascii="仿宋_GB2312" w:hAnsi="仿宋_GB2312" w:eastAsia="仿宋_GB2312" w:cs="仿宋_GB2312"/>
              </w:rPr>
              <w:t>账号：</w:t>
            </w:r>
          </w:p>
        </w:tc>
        <w:tc>
          <w:tcPr>
            <w:tcW w:w="4153" w:type="dxa"/>
          </w:tcPr>
          <w:p w14:paraId="60D9A380">
            <w:pPr>
              <w:pStyle w:val="10"/>
              <w:jc w:val="left"/>
            </w:pPr>
            <w:r>
              <w:rPr>
                <w:rFonts w:ascii="仿宋_GB2312" w:hAnsi="仿宋_GB2312" w:eastAsia="仿宋_GB2312" w:cs="仿宋_GB2312"/>
              </w:rPr>
              <w:t>账号：</w:t>
            </w:r>
          </w:p>
        </w:tc>
      </w:tr>
      <w:tr w14:paraId="3ABE2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2EA3655">
            <w:pPr>
              <w:pStyle w:val="1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15DC8094">
            <w:pPr>
              <w:pStyle w:val="1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73697833">
      <w:pPr>
        <w:pStyle w:val="10"/>
        <w:ind w:firstLine="480"/>
        <w:jc w:val="left"/>
      </w:pPr>
      <w:r>
        <w:rPr>
          <w:rFonts w:ascii="仿宋_GB2312" w:hAnsi="仿宋_GB2312" w:eastAsia="仿宋_GB2312" w:cs="仿宋_GB2312"/>
        </w:rPr>
        <w:t>※注意：</w:t>
      </w:r>
    </w:p>
    <w:p w14:paraId="0FE13282">
      <w:pPr>
        <w:pStyle w:val="10"/>
        <w:ind w:firstLine="480"/>
        <w:jc w:val="left"/>
      </w:pPr>
      <w:r>
        <w:rPr>
          <w:rFonts w:ascii="仿宋_GB2312" w:hAnsi="仿宋_GB2312" w:eastAsia="仿宋_GB2312" w:cs="仿宋_GB2312"/>
        </w:rPr>
        <w:t>1.响应文件接受合同分包且供应商拟将合同分包的，应提供本协议；否则无须提供。</w:t>
      </w:r>
    </w:p>
    <w:p w14:paraId="4FA748FC">
      <w:pPr>
        <w:pStyle w:val="10"/>
        <w:ind w:firstLine="480"/>
        <w:jc w:val="left"/>
      </w:pPr>
      <w:r>
        <w:rPr>
          <w:rFonts w:ascii="仿宋_GB2312" w:hAnsi="仿宋_GB2312" w:eastAsia="仿宋_GB2312" w:cs="仿宋_GB2312"/>
        </w:rPr>
        <w:t>2.本协议由委托代理人签字或盖章的，应按照本章载明的格式提供“单位负责人授权书”。</w:t>
      </w:r>
    </w:p>
    <w:p w14:paraId="7BDCBC27">
      <w:pPr>
        <w:pStyle w:val="10"/>
        <w:ind w:firstLine="480"/>
        <w:jc w:val="left"/>
      </w:pPr>
      <w:r>
        <w:rPr>
          <w:rFonts w:ascii="仿宋_GB2312" w:hAnsi="仿宋_GB2312" w:eastAsia="仿宋_GB2312" w:cs="仿宋_GB2312"/>
        </w:rPr>
        <w:t>3.在以合同分包形式落实中小企业预留份额项目中，供应商除了要提供《中小企业声明函》，还需提供本协议。</w:t>
      </w:r>
    </w:p>
    <w:p w14:paraId="111B023D">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00586A">
      <w:pPr>
        <w:pStyle w:val="10"/>
        <w:jc w:val="center"/>
        <w:outlineLvl w:val="2"/>
      </w:pPr>
      <w:r>
        <w:rPr>
          <w:rFonts w:ascii="仿宋_GB2312" w:hAnsi="仿宋_GB2312" w:eastAsia="仿宋_GB2312" w:cs="仿宋_GB2312"/>
          <w:b/>
          <w:sz w:val="28"/>
        </w:rPr>
        <w:t>10、询价保证金凭证</w:t>
      </w:r>
    </w:p>
    <w:p w14:paraId="5A67B39A">
      <w:pPr>
        <w:pStyle w:val="10"/>
        <w:ind w:firstLine="480"/>
        <w:jc w:val="left"/>
      </w:pPr>
      <w:r>
        <w:rPr>
          <w:rFonts w:ascii="仿宋_GB2312" w:hAnsi="仿宋_GB2312" w:eastAsia="仿宋_GB2312" w:cs="仿宋_GB2312"/>
        </w:rPr>
        <w:t>注：</w:t>
      </w:r>
    </w:p>
    <w:p w14:paraId="4F4CE718">
      <w:pPr>
        <w:pStyle w:val="10"/>
        <w:ind w:firstLine="480"/>
        <w:jc w:val="left"/>
      </w:pPr>
      <w:r>
        <w:rPr>
          <w:rFonts w:ascii="仿宋_GB2312" w:hAnsi="仿宋_GB2312" w:eastAsia="仿宋_GB2312" w:cs="仿宋_GB2312"/>
        </w:rPr>
        <w:t>1、在此项下提交的“询价保证金”材料可使用转账凭证复印件或从福建省政府采购网上公开信息系统中下载的有关原始页面的打印件。通过福建省政府采购网政府采购平台“保函服务”栏目办理电子保函的，提供电子保函电子格式。</w:t>
      </w:r>
    </w:p>
    <w:p w14:paraId="530DAACF">
      <w:pPr>
        <w:pStyle w:val="10"/>
        <w:ind w:firstLine="480"/>
        <w:jc w:val="left"/>
      </w:pPr>
      <w:r>
        <w:rPr>
          <w:rFonts w:ascii="仿宋_GB2312" w:hAnsi="仿宋_GB2312" w:eastAsia="仿宋_GB2312" w:cs="仿宋_GB2312"/>
        </w:rPr>
        <w:t>2、询价保证金是否已提交的认定按照询价通知书的规定执行。</w:t>
      </w:r>
    </w:p>
    <w:p w14:paraId="5B62E685">
      <w:pPr>
        <w:pStyle w:val="10"/>
        <w:ind w:firstLine="480"/>
        <w:jc w:val="right"/>
      </w:pPr>
      <w:r>
        <w:rPr>
          <w:rFonts w:ascii="仿宋_GB2312" w:hAnsi="仿宋_GB2312" w:eastAsia="仿宋_GB2312" w:cs="仿宋_GB2312"/>
        </w:rPr>
        <w:t>供应商代表签名或签章：</w:t>
      </w:r>
      <w:r>
        <w:rPr>
          <w:rFonts w:ascii="仿宋_GB2312" w:hAnsi="仿宋_GB2312" w:eastAsia="仿宋_GB2312" w:cs="仿宋_GB2312"/>
          <w:u w:val="single"/>
        </w:rPr>
        <w:t>　　　　　　　</w:t>
      </w:r>
    </w:p>
    <w:p w14:paraId="23AF54CE">
      <w:pPr>
        <w:pStyle w:val="10"/>
        <w:ind w:firstLine="480"/>
        <w:jc w:val="right"/>
      </w:pPr>
      <w:r>
        <w:rPr>
          <w:rFonts w:ascii="仿宋_GB2312" w:hAnsi="仿宋_GB2312" w:eastAsia="仿宋_GB2312" w:cs="仿宋_GB2312"/>
        </w:rPr>
        <w:t>供应商（全称并加盖公章）：</w:t>
      </w:r>
      <w:r>
        <w:rPr>
          <w:rFonts w:ascii="仿宋_GB2312" w:hAnsi="仿宋_GB2312" w:eastAsia="仿宋_GB2312" w:cs="仿宋_GB2312"/>
          <w:u w:val="single"/>
        </w:rPr>
        <w:t>　　　　　　　</w:t>
      </w:r>
    </w:p>
    <w:p w14:paraId="790F2F3A">
      <w:pPr>
        <w:pStyle w:val="10"/>
        <w:ind w:firstLine="480"/>
        <w:jc w:val="right"/>
      </w:pPr>
      <w:r>
        <w:rPr>
          <w:rFonts w:ascii="仿宋_GB2312" w:hAnsi="仿宋_GB2312" w:eastAsia="仿宋_GB2312" w:cs="仿宋_GB2312"/>
        </w:rPr>
        <w:t>日期：　　年　　月　　日</w:t>
      </w:r>
    </w:p>
    <w:p w14:paraId="187B5781">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C873AD">
      <w:pPr>
        <w:pStyle w:val="10"/>
        <w:jc w:val="center"/>
        <w:outlineLvl w:val="2"/>
      </w:pPr>
      <w:r>
        <w:rPr>
          <w:rFonts w:ascii="仿宋_GB2312" w:hAnsi="仿宋_GB2312" w:eastAsia="仿宋_GB2312" w:cs="仿宋_GB2312"/>
          <w:b/>
          <w:sz w:val="28"/>
        </w:rPr>
        <w:t>11、要求作为响应文件组成部分的其他内容（若有）</w:t>
      </w:r>
    </w:p>
    <w:p w14:paraId="0C17B7BA">
      <w:pPr>
        <w:pStyle w:val="10"/>
        <w:ind w:firstLine="480"/>
        <w:jc w:val="left"/>
      </w:pPr>
      <w:r>
        <w:rPr>
          <w:rFonts w:ascii="仿宋_GB2312" w:hAnsi="仿宋_GB2312" w:eastAsia="仿宋_GB2312" w:cs="仿宋_GB2312"/>
        </w:rPr>
        <w:t>说明：</w:t>
      </w:r>
    </w:p>
    <w:p w14:paraId="4C756E73">
      <w:pPr>
        <w:pStyle w:val="10"/>
        <w:ind w:firstLine="480"/>
        <w:jc w:val="left"/>
      </w:pPr>
      <w:r>
        <w:rPr>
          <w:rFonts w:ascii="仿宋_GB2312" w:hAnsi="仿宋_GB2312" w:eastAsia="仿宋_GB2312" w:cs="仿宋_GB2312"/>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r>
        <w:br w:type="textWrapping"/>
      </w:r>
      <w:r>
        <w:br w:type="textWrapping"/>
      </w:r>
    </w:p>
    <w:p w14:paraId="300540F9">
      <w:pPr>
        <w:pStyle w:val="10"/>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xml:space="preserve">         （签字）</w:t>
      </w:r>
    </w:p>
    <w:p w14:paraId="14DE1AF9">
      <w:pPr>
        <w:pStyle w:val="10"/>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xml:space="preserve">       （全称并加盖公章）</w:t>
      </w:r>
    </w:p>
    <w:p w14:paraId="634DC693">
      <w:pPr>
        <w:pStyle w:val="10"/>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12455069"/>
    <w:p w14:paraId="4093EF54"/>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9A41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E34B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1E34B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70AC9"/>
    <w:multiLevelType w:val="multilevel"/>
    <w:tmpl w:val="24D70AC9"/>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DE2782"/>
    <w:multiLevelType w:val="multilevel"/>
    <w:tmpl w:val="75DE2782"/>
    <w:lvl w:ilvl="0" w:tentative="0">
      <w:start w:val="1"/>
      <w:numFmt w:val="decimal"/>
      <w:pStyle w:val="2"/>
      <w:lvlText w:val="%1.1.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96D46DF"/>
    <w:rsid w:val="162E6AF4"/>
    <w:rsid w:val="177F50ED"/>
    <w:rsid w:val="18363C5F"/>
    <w:rsid w:val="19C77265"/>
    <w:rsid w:val="22435AB2"/>
    <w:rsid w:val="22623FCE"/>
    <w:rsid w:val="23A93537"/>
    <w:rsid w:val="2ABE504C"/>
    <w:rsid w:val="2B6C7C6C"/>
    <w:rsid w:val="2EB37960"/>
    <w:rsid w:val="3002294D"/>
    <w:rsid w:val="302C4844"/>
    <w:rsid w:val="3152520E"/>
    <w:rsid w:val="34000D04"/>
    <w:rsid w:val="35CF6FF8"/>
    <w:rsid w:val="384F0C8B"/>
    <w:rsid w:val="386E2140"/>
    <w:rsid w:val="3AB62A61"/>
    <w:rsid w:val="3C8721F6"/>
    <w:rsid w:val="410858E9"/>
    <w:rsid w:val="45662D6A"/>
    <w:rsid w:val="461E170B"/>
    <w:rsid w:val="48355EF2"/>
    <w:rsid w:val="48531B40"/>
    <w:rsid w:val="4B786977"/>
    <w:rsid w:val="53B52B8D"/>
    <w:rsid w:val="55E16B3B"/>
    <w:rsid w:val="57382639"/>
    <w:rsid w:val="59FA5898"/>
    <w:rsid w:val="5A5C263E"/>
    <w:rsid w:val="5F8C1D0B"/>
    <w:rsid w:val="637146FA"/>
    <w:rsid w:val="711D7258"/>
    <w:rsid w:val="76106BD9"/>
    <w:rsid w:val="770F163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0"/>
        <w:numId w:val="1"/>
      </w:numPr>
      <w:spacing w:before="260" w:after="260" w:line="416" w:lineRule="auto"/>
      <w:outlineLvl w:val="2"/>
    </w:pPr>
    <w:rPr>
      <w:b/>
      <w:bCs/>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正文"/>
    <w:basedOn w:val="1"/>
    <w:qFormat/>
    <w:uiPriority w:val="0"/>
    <w:rPr>
      <w:rFonts w:ascii="宋体" w:hAnsi="宋体" w:eastAsia="宋体" w:cs="宋体"/>
      <w:sz w:val="2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159</Pages>
  <Words>632</Words>
  <Characters>687</Characters>
  <Lines>0</Lines>
  <Paragraphs>0</Paragraphs>
  <TotalTime>8</TotalTime>
  <ScaleCrop>false</ScaleCrop>
  <LinksUpToDate>false</LinksUpToDate>
  <CharactersWithSpaces>693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sea</cp:lastModifiedBy>
  <dcterms:modified xsi:type="dcterms:W3CDTF">2025-05-16T03:27:01Z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FC5C9411AD3D496EA3BF6F5DD69CB3D8_13</vt:lpwstr>
  </property>
  <property fmtid="{D5CDD505-2E9C-101B-9397-08002B2CF9AE}" pid="4" name="KSOTemplateDocerSaveRecord">
    <vt:lpwstr>eyJoZGlkIjoiMzlmM2FlYmY5MzEzZTUyZTBlNWY1YzllNzJjYTNmMjQiLCJ1c2VySWQiOiIzODU1MTgzNDkifQ==</vt:lpwstr>
  </property>
</Properties>
</file>